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4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9"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ind w:left="640" w:hanging="614"/>
        <w:spacing w:after="0"/>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67"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6180" w:type="dxa"/>
            <w:vAlign w:val="bottom"/>
          </w:tcPr>
          <w:p>
            <w:pPr>
              <w:jc w:val="center"/>
              <w:ind w:left="2219"/>
              <w:spacing w:after="0"/>
              <w:rPr>
                <w:sz w:val="20"/>
                <w:szCs w:val="20"/>
                <w:color w:val="auto"/>
              </w:rPr>
            </w:pPr>
            <w:r>
              <w:rPr>
                <w:rFonts w:ascii="Times New Roman" w:cs="Times New Roman" w:eastAsia="Times New Roman" w:hAnsi="Times New Roman"/>
                <w:sz w:val="18"/>
                <w:szCs w:val="18"/>
                <w:b w:val="1"/>
                <w:bCs w:val="1"/>
                <w:color w:val="auto"/>
              </w:rPr>
              <w:t>Commission File Number 1-14443</w:t>
            </w:r>
          </w:p>
        </w:tc>
        <w:tc>
          <w:tcPr>
            <w:tcW w:w="1700" w:type="dxa"/>
            <w:vAlign w:val="bottom"/>
          </w:tcPr>
          <w:p>
            <w:pPr>
              <w:spacing w:after="0"/>
              <w:rPr>
                <w:sz w:val="17"/>
                <w:szCs w:val="17"/>
                <w:color w:val="auto"/>
              </w:rPr>
            </w:pPr>
          </w:p>
        </w:tc>
      </w:tr>
      <w:tr>
        <w:trPr>
          <w:trHeight w:val="546"/>
        </w:trPr>
        <w:tc>
          <w:tcPr>
            <w:tcW w:w="6180" w:type="dxa"/>
            <w:vAlign w:val="bottom"/>
          </w:tcPr>
          <w:p>
            <w:pPr>
              <w:jc w:val="center"/>
              <w:ind w:left="2199"/>
              <w:spacing w:after="0"/>
              <w:rPr>
                <w:sz w:val="20"/>
                <w:szCs w:val="20"/>
                <w:color w:val="auto"/>
              </w:rPr>
            </w:pPr>
            <w:r>
              <w:rPr>
                <w:rFonts w:ascii="Times New Roman" w:cs="Times New Roman" w:eastAsia="Times New Roman" w:hAnsi="Times New Roman"/>
                <w:sz w:val="43"/>
                <w:szCs w:val="43"/>
                <w:b w:val="1"/>
                <w:bCs w:val="1"/>
                <w:color w:val="auto"/>
                <w:w w:val="98"/>
              </w:rPr>
              <w:t>Gartner, Inc.</w:t>
            </w:r>
          </w:p>
        </w:tc>
        <w:tc>
          <w:tcPr>
            <w:tcW w:w="1700" w:type="dxa"/>
            <w:vAlign w:val="bottom"/>
          </w:tcPr>
          <w:p>
            <w:pPr>
              <w:spacing w:after="0"/>
              <w:rPr>
                <w:sz w:val="24"/>
                <w:szCs w:val="24"/>
                <w:color w:val="auto"/>
              </w:rPr>
            </w:pPr>
          </w:p>
        </w:tc>
      </w:tr>
      <w:tr>
        <w:trPr>
          <w:trHeight w:val="234"/>
        </w:trPr>
        <w:tc>
          <w:tcPr>
            <w:tcW w:w="6180" w:type="dxa"/>
            <w:vAlign w:val="bottom"/>
          </w:tcPr>
          <w:p>
            <w:pPr>
              <w:jc w:val="center"/>
              <w:ind w:left="22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700" w:type="dxa"/>
            <w:vAlign w:val="bottom"/>
          </w:tcPr>
          <w:p>
            <w:pPr>
              <w:spacing w:after="0"/>
              <w:rPr>
                <w:sz w:val="20"/>
                <w:szCs w:val="20"/>
                <w:color w:val="auto"/>
              </w:rPr>
            </w:pPr>
          </w:p>
        </w:tc>
      </w:tr>
      <w:tr>
        <w:trPr>
          <w:trHeight w:val="270"/>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8"/>
              </w:rPr>
              <w:t>Delaware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04-3099750</w:t>
            </w:r>
          </w:p>
        </w:tc>
      </w:tr>
      <w:tr>
        <w:trPr>
          <w:trHeight w:val="243"/>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310"/>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w w:val="98"/>
              </w:rPr>
              <w:t>P.O. Box 10212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06902-7700</w:t>
            </w:r>
          </w:p>
        </w:tc>
      </w:tr>
      <w:tr>
        <w:trPr>
          <w:trHeight w:val="243"/>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w w:val="98"/>
              </w:rPr>
              <w:t>56 Top Gallant Road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43"/>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rPr>
              <w:t>Stamford,</w:t>
            </w:r>
          </w:p>
        </w:tc>
        <w:tc>
          <w:tcPr>
            <w:tcW w:w="1700" w:type="dxa"/>
            <w:vAlign w:val="bottom"/>
          </w:tcPr>
          <w:p>
            <w:pPr>
              <w:spacing w:after="0"/>
              <w:rPr>
                <w:sz w:val="21"/>
                <w:szCs w:val="21"/>
                <w:color w:val="auto"/>
              </w:rPr>
            </w:pPr>
          </w:p>
        </w:tc>
      </w:tr>
      <w:tr>
        <w:trPr>
          <w:trHeight w:val="243"/>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rPr>
              <w:t>Connecticut</w:t>
            </w:r>
          </w:p>
        </w:tc>
        <w:tc>
          <w:tcPr>
            <w:tcW w:w="1700" w:type="dxa"/>
            <w:vAlign w:val="bottom"/>
          </w:tcPr>
          <w:p>
            <w:pPr>
              <w:spacing w:after="0"/>
              <w:rPr>
                <w:sz w:val="21"/>
                <w:szCs w:val="21"/>
                <w:color w:val="auto"/>
              </w:rPr>
            </w:pPr>
          </w:p>
        </w:tc>
      </w:tr>
      <w:tr>
        <w:trPr>
          <w:trHeight w:val="243"/>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00" w:type="dxa"/>
            <w:vAlign w:val="bottom"/>
          </w:tcPr>
          <w:p>
            <w:pPr>
              <w:spacing w:after="0"/>
              <w:rPr>
                <w:sz w:val="21"/>
                <w:szCs w:val="21"/>
                <w:color w:val="auto"/>
              </w:rPr>
            </w:pPr>
          </w:p>
        </w:tc>
      </w:tr>
    </w:tbl>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Registrant’s telephone number, including area code: (203) 964-0096</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6"/>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$.0005 par value 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5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72" w:right="339" w:bottom="1440" w:gutter="0" w:footer="0" w:header="0"/>
        </w:sectPr>
      </w:pPr>
    </w:p>
    <w:p>
      <w:pPr>
        <w:spacing w:after="0" w:line="9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9" w:lineRule="exact"/>
        <w:rPr>
          <w:sz w:val="24"/>
          <w:szCs w:val="24"/>
          <w:color w:val="auto"/>
        </w:rPr>
      </w:pPr>
    </w:p>
    <w:p>
      <w:pPr>
        <w:sectPr>
          <w:pgSz w:w="11900" w:h="16838" w:orient="portrait"/>
          <w:cols w:equalWidth="0" w:num="6">
            <w:col w:w="1640" w:space="500"/>
            <w:col w:w="1040" w:space="720"/>
            <w:col w:w="1960" w:space="600"/>
            <w:col w:w="1080" w:space="720"/>
            <w:col w:w="1960" w:space="620"/>
            <w:col w:w="400"/>
          </w:cols>
          <w:pgMar w:left="320" w:top="1272" w:right="339" w:bottom="1440" w:gutter="0" w:footer="0" w:header="0"/>
          <w:type w:val="continuous"/>
        </w:sectPr>
      </w:pPr>
    </w:p>
    <w:p>
      <w:pPr>
        <w:ind w:left="20" w:right="140"/>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right="208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30, 2026, 63,081,351 shares of the registrant’s common shares were outstanding.</w:t>
      </w:r>
    </w:p>
    <w:p>
      <w:pPr>
        <w:spacing w:after="0" w:line="200" w:lineRule="exact"/>
        <w:rPr>
          <w:sz w:val="24"/>
          <w:szCs w:val="24"/>
          <w:color w:val="auto"/>
        </w:rPr>
      </w:pPr>
    </w:p>
    <w:p>
      <w:pPr>
        <w:spacing w:after="0" w:line="376"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type w:val="continuous"/>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0000FF"/>
            </w:tcBorders>
            <w:gridSpan w:val="7"/>
          </w:tcPr>
          <w:p>
            <w:pPr>
              <w:spacing w:after="0" w:line="202" w:lineRule="exact"/>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460" w:type="dxa"/>
            <w:vAlign w:val="bottom"/>
            <w:gridSpan w:val="11"/>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ITEM 1. FINANCIAL STATEMENTS (Unaudited)</w:t>
            </w:r>
          </w:p>
        </w:tc>
        <w:tc>
          <w:tcPr>
            <w:tcW w:w="6800" w:type="dxa"/>
            <w:vAlign w:val="bottom"/>
            <w:gridSpan w:val="9"/>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September 30, 2026 and December 31, 2025</w:t>
            </w: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2026 and 2025</w:t>
            </w: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2026 and 2025</w:t>
            </w: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(Deficit) Equity for the Three and Nine Months Ended September 30, 2026 and</w:t>
            </w:r>
          </w:p>
        </w:tc>
        <w:tc>
          <w:tcPr>
            <w:tcW w:w="460" w:type="dxa"/>
            <w:vAlign w:val="bottom"/>
            <w:gridSpan w:val="3"/>
            <w:vMerge w:val="restart"/>
          </w:tcPr>
          <w:p>
            <w:pPr>
              <w:jc w:val="center"/>
              <w:ind w:left="170"/>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169"/>
        </w:trPr>
        <w:tc>
          <w:tcPr>
            <w:tcW w:w="360" w:type="dxa"/>
            <w:vAlign w:val="bottom"/>
            <w:tcBorders>
              <w:top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2025</w:t>
            </w:r>
          </w:p>
        </w:tc>
        <w:tc>
          <w:tcPr>
            <w:tcW w:w="11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3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2026 and 2025</w:t>
            </w:r>
          </w:p>
        </w:tc>
        <w:tc>
          <w:tcPr>
            <w:tcW w:w="2600" w:type="dxa"/>
            <w:vAlign w:val="bottom"/>
            <w:gridSpan w:val="5"/>
          </w:tcPr>
          <w:p>
            <w:pPr>
              <w:spacing w:after="0"/>
              <w:rPr>
                <w:sz w:val="19"/>
                <w:szCs w:val="19"/>
                <w:color w:val="auto"/>
              </w:rPr>
            </w:pP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940" w:type="dxa"/>
            <w:vAlign w:val="bottom"/>
            <w:gridSpan w:val="3"/>
          </w:tcPr>
          <w:p>
            <w:pPr>
              <w:spacing w:after="0"/>
              <w:rPr>
                <w:sz w:val="19"/>
                <w:szCs w:val="19"/>
                <w:color w:val="auto"/>
              </w:rPr>
            </w:pPr>
          </w:p>
        </w:tc>
        <w:tc>
          <w:tcPr>
            <w:tcW w:w="2600" w:type="dxa"/>
            <w:vAlign w:val="bottom"/>
            <w:gridSpan w:val="5"/>
          </w:tcPr>
          <w:p>
            <w:pPr>
              <w:spacing w:after="0"/>
              <w:rPr>
                <w:sz w:val="19"/>
                <w:szCs w:val="19"/>
                <w:color w:val="auto"/>
              </w:rPr>
            </w:pP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4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0000FF"/>
                <w:w w:val="99"/>
              </w:rPr>
              <w:t>26</w:t>
            </w: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80" w:type="dxa"/>
            <w:vAlign w:val="bottom"/>
            <w:gridSpan w:val="4"/>
            <w:shd w:val="clear" w:color="auto" w:fill="0000FF"/>
          </w:tcPr>
          <w:p>
            <w:pPr>
              <w:spacing w:after="0" w:line="20" w:lineRule="exact"/>
              <w:rPr>
                <w:sz w:val="1"/>
                <w:szCs w:val="1"/>
                <w:color w:val="auto"/>
              </w:rPr>
            </w:pPr>
          </w:p>
        </w:tc>
        <w:tc>
          <w:tcPr>
            <w:tcW w:w="2840" w:type="dxa"/>
            <w:vAlign w:val="bottom"/>
            <w:tcBorders>
              <w:left w:val="single" w:sz="8" w:color="0000FF"/>
            </w:tcBorders>
            <w:gridSpan w:val="4"/>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60" w:type="dxa"/>
            <w:vAlign w:val="bottom"/>
            <w:gridSpan w:val="2"/>
          </w:tcPr>
          <w:p>
            <w:pPr>
              <w:spacing w:after="0"/>
              <w:rPr>
                <w:sz w:val="19"/>
                <w:szCs w:val="19"/>
                <w:color w:val="auto"/>
              </w:rPr>
            </w:pPr>
          </w:p>
        </w:tc>
        <w:tc>
          <w:tcPr>
            <w:tcW w:w="4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0000FF"/>
                <w:w w:val="99"/>
              </w:rPr>
              <w:t>39</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800" w:type="dxa"/>
            <w:vAlign w:val="bottom"/>
            <w:gridSpan w:val="6"/>
          </w:tcPr>
          <w:p>
            <w:pPr>
              <w:spacing w:after="0"/>
              <w:rPr>
                <w:sz w:val="19"/>
                <w:szCs w:val="19"/>
                <w:color w:val="auto"/>
              </w:rPr>
            </w:pPr>
          </w:p>
        </w:tc>
        <w:tc>
          <w:tcPr>
            <w:tcW w:w="4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0000FF"/>
                <w:w w:val="99"/>
              </w:rPr>
              <w:t>39</w:t>
            </w:r>
          </w:p>
        </w:tc>
        <w:tc>
          <w:tcPr>
            <w:tcW w:w="0" w:type="dxa"/>
            <w:vAlign w:val="bottom"/>
          </w:tcPr>
          <w:p>
            <w:pPr>
              <w:spacing w:after="0"/>
              <w:rPr>
                <w:sz w:val="1"/>
                <w:szCs w:val="1"/>
                <w:color w:val="auto"/>
              </w:rPr>
            </w:pPr>
          </w:p>
        </w:tc>
      </w:tr>
      <w:tr>
        <w:trPr>
          <w:trHeight w:val="223"/>
        </w:trPr>
        <w:tc>
          <w:tcPr>
            <w:tcW w:w="2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480" w:type="dxa"/>
            <w:vAlign w:val="bottom"/>
            <w:tcBorders>
              <w:top w:val="single" w:sz="8" w:color="0000FF"/>
            </w:tcBorders>
            <w:gridSpan w:val="2"/>
          </w:tcPr>
          <w:p>
            <w:pPr>
              <w:spacing w:after="0"/>
              <w:rPr>
                <w:sz w:val="19"/>
                <w:szCs w:val="19"/>
                <w:color w:val="auto"/>
              </w:rPr>
            </w:pPr>
          </w:p>
        </w:tc>
        <w:tc>
          <w:tcPr>
            <w:tcW w:w="7280" w:type="dxa"/>
            <w:vAlign w:val="bottom"/>
            <w:gridSpan w:val="10"/>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4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0000FF"/>
                <w:w w:val="99"/>
              </w:rPr>
              <w:t>40</w:t>
            </w: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000" w:type="dxa"/>
            <w:vAlign w:val="bottom"/>
            <w:gridSpan w:val="14"/>
          </w:tcPr>
          <w:p>
            <w:pPr>
              <w:spacing w:after="0"/>
              <w:rPr>
                <w:sz w:val="19"/>
                <w:szCs w:val="19"/>
                <w:color w:val="auto"/>
              </w:rPr>
            </w:pPr>
          </w:p>
        </w:tc>
        <w:tc>
          <w:tcPr>
            <w:tcW w:w="4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0000FF"/>
                <w:w w:val="99"/>
              </w:rPr>
              <w:t>40</w:t>
            </w: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00" w:type="dxa"/>
            <w:vAlign w:val="bottom"/>
            <w:gridSpan w:val="6"/>
          </w:tcPr>
          <w:p>
            <w:pPr>
              <w:spacing w:after="0"/>
              <w:rPr>
                <w:sz w:val="19"/>
                <w:szCs w:val="19"/>
                <w:color w:val="auto"/>
              </w:rPr>
            </w:pPr>
          </w:p>
        </w:tc>
        <w:tc>
          <w:tcPr>
            <w:tcW w:w="4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0000FF"/>
                <w:w w:val="99"/>
              </w:rPr>
              <w:t>40</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4180" w:type="dxa"/>
            <w:vAlign w:val="bottom"/>
            <w:gridSpan w:val="7"/>
          </w:tcPr>
          <w:p>
            <w:pPr>
              <w:spacing w:after="0"/>
              <w:rPr>
                <w:sz w:val="19"/>
                <w:szCs w:val="19"/>
                <w:color w:val="auto"/>
              </w:rPr>
            </w:pPr>
          </w:p>
        </w:tc>
        <w:tc>
          <w:tcPr>
            <w:tcW w:w="3800" w:type="dxa"/>
            <w:vAlign w:val="bottom"/>
            <w:gridSpan w:val="6"/>
          </w:tcPr>
          <w:p>
            <w:pPr>
              <w:spacing w:after="0"/>
              <w:rPr>
                <w:sz w:val="19"/>
                <w:szCs w:val="19"/>
                <w:color w:val="auto"/>
              </w:rPr>
            </w:pPr>
          </w:p>
        </w:tc>
        <w:tc>
          <w:tcPr>
            <w:tcW w:w="4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0000FF"/>
                <w:w w:val="99"/>
              </w:rPr>
              <w:t>40</w:t>
            </w: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980" w:type="dxa"/>
            <w:vAlign w:val="bottom"/>
            <w:gridSpan w:val="1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1060" w:type="dxa"/>
            <w:vAlign w:val="bottom"/>
            <w:gridSpan w:val="3"/>
          </w:tcPr>
          <w:p>
            <w:pPr>
              <w:spacing w:after="0"/>
              <w:rPr>
                <w:sz w:val="19"/>
                <w:szCs w:val="19"/>
                <w:color w:val="auto"/>
              </w:rPr>
            </w:pPr>
          </w:p>
        </w:tc>
        <w:tc>
          <w:tcPr>
            <w:tcW w:w="7980" w:type="dxa"/>
            <w:vAlign w:val="bottom"/>
            <w:gridSpan w:val="13"/>
          </w:tcPr>
          <w:p>
            <w:pPr>
              <w:spacing w:after="0"/>
              <w:rPr>
                <w:sz w:val="19"/>
                <w:szCs w:val="19"/>
                <w:color w:val="auto"/>
              </w:rPr>
            </w:pPr>
          </w:p>
        </w:tc>
        <w:tc>
          <w:tcPr>
            <w:tcW w:w="4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0000FF"/>
                <w:w w:val="99"/>
              </w:rPr>
              <w:t>41</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891"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7"/>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0"/>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 except share data)</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8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3"/>
                <w:szCs w:val="23"/>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8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1,722,521</w:t>
            </w:r>
          </w:p>
        </w:tc>
      </w:tr>
      <w:tr>
        <w:trPr>
          <w:trHeight w:val="24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Fees receivable, net of allowances of $4,500 and $5,000, respectively</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1,684,522</w:t>
            </w: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400,728</w:t>
            </w: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152,205</w:t>
            </w: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held-for-sale</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106,361</w:t>
            </w:r>
          </w:p>
        </w:tc>
      </w:tr>
      <w:tr>
        <w:trPr>
          <w:trHeight w:val="237"/>
        </w:trPr>
        <w:tc>
          <w:tcPr>
            <w:tcW w:w="8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3,204,526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4,066,337</w:t>
            </w: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214,183</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213,997</w:t>
            </w: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2,738,892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2,740,802</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336,303</w:t>
            </w: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539,205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513,778</w:t>
            </w:r>
          </w:p>
        </w:tc>
      </w:tr>
      <w:tr>
        <w:trPr>
          <w:trHeight w:val="237"/>
        </w:trPr>
        <w:tc>
          <w:tcPr>
            <w:tcW w:w="81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7,151,675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8,085,400</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1,236,533</w:t>
            </w: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2,576,041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2,810,056</w:t>
            </w: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 held-for-sale</w:t>
            </w:r>
          </w:p>
        </w:tc>
        <w:tc>
          <w:tcPr>
            <w:tcW w:w="14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20,503</w:t>
            </w:r>
          </w:p>
        </w:tc>
      </w:tr>
      <w:tr>
        <w:trPr>
          <w:trHeight w:val="237"/>
        </w:trPr>
        <w:tc>
          <w:tcPr>
            <w:tcW w:w="81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3,515,438</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4,072,092</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fees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2,980,601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2,976,674</w:t>
            </w: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270,200</w:t>
            </w:r>
          </w:p>
        </w:tc>
      </w:tr>
      <w:tr>
        <w:trPr>
          <w:trHeight w:val="24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454,664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446,526</w:t>
            </w:r>
          </w:p>
        </w:tc>
      </w:tr>
      <w:tr>
        <w:trPr>
          <w:trHeight w:val="237"/>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7,186,340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7,765,492</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none issued or outstanding</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$0.0005 par value, 250,000,000 shares authorized; 163,602,067 shares issued for both periods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2,816,835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2,679,101</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(41,015)</w:t>
            </w: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earnings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7,434,499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6,722,238</w:t>
            </w:r>
          </w:p>
        </w:tc>
      </w:tr>
      <w:tr>
        <w:trPr>
          <w:trHeight w:val="24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99,960,756 and 92,752,769 common shares, respectively</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(10,236,275)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(9,040,498)</w:t>
            </w:r>
          </w:p>
        </w:tc>
      </w:tr>
      <w:tr>
        <w:trPr>
          <w:trHeight w:val="237"/>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Stockholders’ (Deficit) Equity</w:t>
            </w: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319,908</w:t>
            </w:r>
          </w:p>
        </w:tc>
      </w:tr>
      <w:tr>
        <w:trPr>
          <w:trHeight w:val="236"/>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7,151,675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8,085,400</w:t>
            </w:r>
          </w:p>
        </w:tc>
      </w:tr>
      <w:tr>
        <w:trPr>
          <w:trHeight w:val="20"/>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0"/>
                <w:szCs w:val="20"/>
                <w:color w:val="auto"/>
              </w:rPr>
            </w:pPr>
          </w:p>
        </w:tc>
        <w:tc>
          <w:tcPr>
            <w:tcW w:w="27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3"/>
        </w:trPr>
        <w:tc>
          <w:tcPr>
            <w:tcW w:w="49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r>
      <w:tr>
        <w:trPr>
          <w:trHeight w:val="220"/>
        </w:trPr>
        <w:tc>
          <w:tcPr>
            <w:tcW w:w="4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Insights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1,292,434</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1,270,724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3,876,499</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3,789,798</w:t>
            </w:r>
          </w:p>
        </w:tc>
      </w:tr>
      <w:tr>
        <w:trPr>
          <w:trHeight w:val="243"/>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Conferences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408,485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358,558</w:t>
            </w: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Consulting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126,354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387,399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418,873</w:t>
            </w:r>
          </w:p>
        </w:tc>
      </w:tr>
      <w:tr>
        <w:trPr>
          <w:trHeight w:val="243"/>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177,427</w:t>
            </w:r>
          </w:p>
        </w:tc>
      </w:tr>
      <w:tr>
        <w:trPr>
          <w:trHeight w:val="23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1,504,791</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1,524,072</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4,691,775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4,744,656</w:t>
            </w: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433,143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474,218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1,349,359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1,480,979</w:t>
            </w:r>
          </w:p>
        </w:tc>
      </w:tr>
      <w:tr>
        <w:trPr>
          <w:trHeight w:val="243"/>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746,842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762,557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2,237,783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2,269,753</w:t>
            </w: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90,134</w:t>
            </w:r>
          </w:p>
        </w:tc>
      </w:tr>
      <w:tr>
        <w:trPr>
          <w:trHeight w:val="243"/>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62,318</w:t>
            </w: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43"/>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1,223,680</w:t>
            </w:r>
          </w:p>
        </w:tc>
        <w:tc>
          <w:tcPr>
            <w:tcW w:w="120" w:type="dxa"/>
            <w:vAlign w:val="bottom"/>
            <w:tcBorders>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1,437,728</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3,716,052</w:t>
            </w:r>
          </w:p>
        </w:tc>
        <w:tc>
          <w:tcPr>
            <w:tcW w:w="100" w:type="dxa"/>
            <w:vAlign w:val="bottom"/>
            <w:tcBorders>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4,053,184</w:t>
            </w:r>
          </w:p>
        </w:tc>
      </w:tr>
      <w:tr>
        <w:trPr>
          <w:trHeight w:val="237"/>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281,111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975,723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691,472</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(41,493)</w:t>
            </w: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r>
      <w:tr>
        <w:trPr>
          <w:trHeight w:val="23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255,681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654,283</w:t>
            </w: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41,262</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190,455</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167,204</w:t>
            </w:r>
          </w:p>
        </w:tc>
      </w:tr>
      <w:tr>
        <w:trPr>
          <w:trHeight w:val="237"/>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214,419</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35,357</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712,261</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487,079</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8"/>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63,751</w:t>
            </w:r>
          </w:p>
        </w:tc>
        <w:tc>
          <w:tcPr>
            <w:tcW w:w="1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74,884</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66,683</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76,466</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2"/>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GARTNER,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76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3"/>
        </w:trPr>
        <w:tc>
          <w:tcPr>
            <w:tcW w:w="49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r>
      <w:tr>
        <w:trPr>
          <w:trHeight w:val="237"/>
        </w:trPr>
        <w:tc>
          <w:tcPr>
            <w:tcW w:w="49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214,419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712,261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487,079</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42,138</w:t>
            </w: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 – net change in deferred gain or loss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plans – net change in deferred actuarial loss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6"/>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52,088</w:t>
            </w:r>
          </w:p>
        </w:tc>
      </w:tr>
      <w:tr>
        <w:trPr>
          <w:trHeight w:val="262"/>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703,470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539,167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2026</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6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Accumulated Other</w:t>
            </w:r>
          </w:p>
        </w:tc>
        <w:tc>
          <w:tcPr>
            <w:tcW w:w="140" w:type="dxa"/>
            <w:vAlign w:val="bottom"/>
          </w:tcPr>
          <w:p>
            <w:pPr>
              <w:spacing w:after="0"/>
              <w:rPr>
                <w:sz w:val="16"/>
                <w:szCs w:val="16"/>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40" w:type="dxa"/>
            <w:vAlign w:val="bottom"/>
          </w:tcPr>
          <w:p>
            <w:pPr>
              <w:spacing w:after="0"/>
              <w:rPr>
                <w:sz w:val="15"/>
                <w:szCs w:val="15"/>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Loss, Net</w:t>
            </w:r>
          </w:p>
        </w:tc>
        <w:tc>
          <w:tcPr>
            <w:tcW w:w="14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2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2,679,101</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(41,015)</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6,722,238</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(9,040,498)</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319,908</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222,344</w:t>
            </w: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(529,387)</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45,870</w:t>
            </w:r>
          </w:p>
        </w:tc>
        <w:tc>
          <w:tcPr>
            <w:tcW w:w="0" w:type="dxa"/>
            <w:vAlign w:val="bottom"/>
          </w:tcPr>
          <w:p>
            <w:pPr>
              <w:spacing w:after="0"/>
              <w:rPr>
                <w:sz w:val="1"/>
                <w:szCs w:val="1"/>
                <w:color w:val="auto"/>
              </w:rPr>
            </w:pPr>
          </w:p>
        </w:tc>
      </w:tr>
      <w:tr>
        <w:trPr>
          <w:trHeight w:val="237"/>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2,729,386</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(45,055)</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6,944,582</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(9,565,611)</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63,384</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275,498</w:t>
            </w: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(546,026)</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40,990</w:t>
            </w:r>
          </w:p>
        </w:tc>
        <w:tc>
          <w:tcPr>
            <w:tcW w:w="0" w:type="dxa"/>
            <w:vAlign w:val="bottom"/>
          </w:tcPr>
          <w:p>
            <w:pPr>
              <w:spacing w:after="0"/>
              <w:rPr>
                <w:sz w:val="1"/>
                <w:szCs w:val="1"/>
                <w:color w:val="auto"/>
              </w:rPr>
            </w:pPr>
          </w:p>
        </w:tc>
      </w:tr>
      <w:tr>
        <w:trPr>
          <w:trHeight w:val="237"/>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2,774,555</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(52,419)</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7,220,080</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(10,109,643)</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(167,345)</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214,419</w:t>
            </w: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(128,193)</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38,423</w:t>
            </w:r>
          </w:p>
        </w:tc>
        <w:tc>
          <w:tcPr>
            <w:tcW w:w="0" w:type="dxa"/>
            <w:vAlign w:val="bottom"/>
          </w:tcPr>
          <w:p>
            <w:pPr>
              <w:spacing w:after="0"/>
              <w:rPr>
                <w:sz w:val="1"/>
                <w:szCs w:val="1"/>
                <w:color w:val="auto"/>
              </w:rPr>
            </w:pPr>
          </w:p>
        </w:tc>
      </w:tr>
      <w:tr>
        <w:trPr>
          <w:trHeight w:val="262"/>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2,816,835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7,434,499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(10,236,275)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2025</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6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Accumulated Other</w:t>
            </w:r>
          </w:p>
        </w:tc>
        <w:tc>
          <w:tcPr>
            <w:tcW w:w="140" w:type="dxa"/>
            <w:vAlign w:val="bottom"/>
          </w:tcPr>
          <w:p>
            <w:pPr>
              <w:spacing w:after="0"/>
              <w:rPr>
                <w:sz w:val="16"/>
                <w:szCs w:val="16"/>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20" w:type="dxa"/>
            <w:vAlign w:val="bottom"/>
          </w:tcPr>
          <w:p>
            <w:pPr>
              <w:spacing w:after="0"/>
              <w:rPr>
                <w:sz w:val="15"/>
                <w:szCs w:val="15"/>
                <w:color w:val="auto"/>
              </w:rPr>
            </w:pPr>
          </w:p>
        </w:tc>
        <w:tc>
          <w:tcPr>
            <w:tcW w:w="9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Loss, Net</w:t>
            </w:r>
          </w:p>
        </w:tc>
        <w:tc>
          <w:tcPr>
            <w:tcW w:w="14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2,497,130</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5,993,007</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(7,042,717)</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1,359,169</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210,939</w:t>
            </w: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(152,672)</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50,168</w:t>
            </w:r>
          </w:p>
        </w:tc>
        <w:tc>
          <w:tcPr>
            <w:tcW w:w="0" w:type="dxa"/>
            <w:vAlign w:val="bottom"/>
          </w:tcPr>
          <w:p>
            <w:pPr>
              <w:spacing w:after="0"/>
              <w:rPr>
                <w:sz w:val="1"/>
                <w:szCs w:val="1"/>
                <w:color w:val="auto"/>
              </w:rPr>
            </w:pPr>
          </w:p>
        </w:tc>
      </w:tr>
      <w:tr>
        <w:trPr>
          <w:trHeight w:val="237"/>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2,553,170</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(67,849)</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6,203,946</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(7,191,495)</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1,497,854</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240,783</w:t>
            </w: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(278,032)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(278,032)</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0" w:type="dxa"/>
            <w:vAlign w:val="bottom"/>
          </w:tcPr>
          <w:p>
            <w:pPr>
              <w:spacing w:after="0"/>
              <w:rPr>
                <w:sz w:val="1"/>
                <w:szCs w:val="1"/>
                <w:color w:val="auto"/>
              </w:rPr>
            </w:pPr>
          </w:p>
        </w:tc>
      </w:tr>
      <w:tr>
        <w:trPr>
          <w:trHeight w:val="236"/>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2,602,976</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(46,615)</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6,444,729</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(7,468,546)</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1,532,626</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35,357</w:t>
            </w: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(1,060,085)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(1,060,085)</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30,523</w:t>
            </w:r>
          </w:p>
        </w:tc>
        <w:tc>
          <w:tcPr>
            <w:tcW w:w="0" w:type="dxa"/>
            <w:vAlign w:val="bottom"/>
          </w:tcPr>
          <w:p>
            <w:pPr>
              <w:spacing w:after="0"/>
              <w:rPr>
                <w:sz w:val="1"/>
                <w:szCs w:val="1"/>
                <w:color w:val="auto"/>
              </w:rPr>
            </w:pPr>
          </w:p>
        </w:tc>
      </w:tr>
      <w:tr>
        <w:trPr>
          <w:trHeight w:val="262"/>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2,640,460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6,480,086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(8,527,831)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556,552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3"/>
        </w:trPr>
        <w:tc>
          <w:tcPr>
            <w:tcW w:w="8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1"/>
                <w:szCs w:val="21"/>
                <w:color w:val="auto"/>
              </w:rPr>
            </w:pPr>
          </w:p>
        </w:tc>
      </w:tr>
      <w:tr>
        <w:trPr>
          <w:trHeight w:val="237"/>
        </w:trPr>
        <w:tc>
          <w:tcPr>
            <w:tcW w:w="8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712,261</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487,079</w:t>
            </w: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152,452</w:t>
            </w: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123,718</w:t>
            </w: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(43,043)</w:t>
            </w: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impairment of lease related assets</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 in the carrying amount of operating lease right-of-use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49,463</w:t>
            </w: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and write-off of deferred financing fees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de-designated swaps</w:t>
            </w:r>
          </w:p>
        </w:tc>
        <w:tc>
          <w:tcPr>
            <w:tcW w:w="3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acquisitions and divestitures: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 receivable,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627,775</w:t>
            </w: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124,367</w:t>
            </w: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(51,597)</w:t>
            </w: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(29,129)</w:t>
            </w: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(225,097)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(335,057)</w:t>
            </w: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(333,186)</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(267,545)</w:t>
            </w:r>
          </w:p>
        </w:tc>
      </w:tr>
      <w:tr>
        <w:trPr>
          <w:trHeight w:val="23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1,083,760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995,821</w:t>
            </w: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to property, equipment and leasehold improvements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w:t>
            </w: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divested operation, net of cash transferred</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99,764</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w:t>
            </w: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25,203</w:t>
            </w: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deferred financing fees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(1,219,977)</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(1,492,678)</w:t>
            </w:r>
          </w:p>
        </w:tc>
      </w:tr>
      <w:tr>
        <w:trPr>
          <w:trHeight w:val="236"/>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(1,206,299)</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(1,467,475)</w:t>
            </w:r>
          </w:p>
        </w:tc>
      </w:tr>
      <w:tr>
        <w:trPr>
          <w:trHeight w:val="23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(562,964)</w:t>
            </w:r>
          </w:p>
        </w:tc>
      </w:tr>
    </w:tbl>
    <w:p>
      <w:pPr>
        <w:spacing w:after="0" w:line="9" w:lineRule="exact"/>
        <w:rPr>
          <w:sz w:val="20"/>
          <w:szCs w:val="20"/>
          <w:color w:val="auto"/>
        </w:rPr>
      </w:pPr>
    </w:p>
    <w:p>
      <w:pPr>
        <w:sectPr>
          <w:pgSz w:w="11900" w:h="16838" w:orient="portrait"/>
          <w:cols w:equalWidth="0" w:num="1">
            <w:col w:w="11240"/>
          </w:cols>
          <w:pgMar w:left="320" w:top="887"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Effects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jc w:val="both"/>
        <w:ind w:left="920"/>
        <w:spacing w:after="0"/>
        <w:tabs>
          <w:tab w:leader="none" w:pos="2500" w:val="left"/>
        </w:tabs>
        <w:rPr>
          <w:sz w:val="20"/>
          <w:szCs w:val="20"/>
          <w:color w:val="auto"/>
        </w:rPr>
      </w:pPr>
      <w:r>
        <w:rPr>
          <w:rFonts w:ascii="Times New Roman" w:cs="Times New Roman" w:eastAsia="Times New Roman" w:hAnsi="Times New Roman"/>
          <w:sz w:val="18"/>
          <w:szCs w:val="18"/>
          <w:color w:val="auto"/>
        </w:rPr>
        <w:t>(6,990)</w:t>
      </w:r>
      <w:r>
        <w:rPr>
          <w:sz w:val="20"/>
          <w:szCs w:val="20"/>
          <w:color w:val="auto"/>
        </w:rPr>
        <w:tab/>
      </w:r>
      <w:r>
        <w:rPr>
          <w:rFonts w:ascii="Times New Roman" w:cs="Times New Roman" w:eastAsia="Times New Roman" w:hAnsi="Times New Roman"/>
          <w:sz w:val="18"/>
          <w:szCs w:val="18"/>
          <w:color w:val="auto"/>
        </w:rPr>
        <w:t>60,547</w:t>
      </w:r>
    </w:p>
    <w:p>
      <w:pPr>
        <w:spacing w:after="0" w:line="36" w:lineRule="exact"/>
        <w:rPr>
          <w:sz w:val="20"/>
          <w:szCs w:val="20"/>
          <w:color w:val="auto"/>
        </w:rPr>
      </w:pPr>
    </w:p>
    <w:p>
      <w:pPr>
        <w:jc w:val="both"/>
        <w:ind w:left="680"/>
        <w:spacing w:after="0"/>
        <w:tabs>
          <w:tab w:leader="none" w:pos="2260" w:val="left"/>
        </w:tabs>
        <w:rPr>
          <w:sz w:val="20"/>
          <w:szCs w:val="20"/>
          <w:color w:val="auto"/>
        </w:rPr>
      </w:pPr>
      <w:r>
        <w:rPr>
          <w:rFonts w:ascii="Times New Roman" w:cs="Times New Roman" w:eastAsia="Times New Roman" w:hAnsi="Times New Roman"/>
          <w:sz w:val="18"/>
          <w:szCs w:val="18"/>
          <w:color w:val="auto"/>
        </w:rPr>
        <w:t>1,722,521</w:t>
      </w:r>
      <w:r>
        <w:rPr>
          <w:sz w:val="20"/>
          <w:szCs w:val="20"/>
          <w:color w:val="auto"/>
        </w:rPr>
        <w:tab/>
      </w:r>
      <w:r>
        <w:rPr>
          <w:rFonts w:ascii="Times New Roman" w:cs="Times New Roman" w:eastAsia="Times New Roman" w:hAnsi="Times New Roman"/>
          <w:sz w:val="18"/>
          <w:szCs w:val="18"/>
          <w:color w:val="auto"/>
        </w:rPr>
        <w:t>1,933,147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19716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30" w:lineRule="exact"/>
        <w:rPr>
          <w:sz w:val="20"/>
          <w:szCs w:val="20"/>
          <w:color w:val="auto"/>
        </w:rPr>
      </w:pPr>
    </w:p>
    <w:p>
      <w:pPr>
        <w:spacing w:after="0"/>
        <w:tabs>
          <w:tab w:leader="none" w:pos="660" w:val="left"/>
          <w:tab w:leader="none" w:pos="1580" w:val="left"/>
          <w:tab w:leader="none" w:pos="2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1,633,137</w:t>
        <w:tab/>
        <w:t>$</w:t>
      </w:r>
      <w:r>
        <w:rPr>
          <w:sz w:val="20"/>
          <w:szCs w:val="20"/>
          <w:color w:val="auto"/>
        </w:rPr>
        <w:tab/>
      </w:r>
      <w:r>
        <w:rPr>
          <w:rFonts w:ascii="Times New Roman" w:cs="Times New Roman" w:eastAsia="Times New Roman" w:hAnsi="Times New Roman"/>
          <w:sz w:val="18"/>
          <w:szCs w:val="18"/>
          <w:color w:val="auto"/>
        </w:rPr>
        <w:t>1,430,730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197167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1675" cy="342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440" w:space="720"/>
            <w:col w:w="3080"/>
          </w:cols>
          <w:pgMar w:left="320" w:top="887" w:right="339" w:bottom="1440" w:gutter="0" w:footer="0" w:header="0"/>
          <w:type w:val="continuous"/>
        </w:sectPr>
      </w:pP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the accompanying notes to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and Basis of Presentation</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Gartner, Inc. (NYSE: IT) delivers actionable, objective business and technology insights that drive smarter decisions and stronger performance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organization’s mission-critical priorities.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Gartner delivers its products and services globally through three reportable segments: Business and Technology Insights (or “Insights”),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Conferences and Consulting. Revenues and other financial information for the Company’s segments are discussed in Note 7 — Segment Information.</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The accompanying interim Condensed Consolidated Financial Statements have been prepared in accordance with generally accepted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in the United States of America (“U.S. GAAP”), as defined in Financial Accounting Standards Board (“FASB”) Accounting Standards Codification (“ASC”) Topic 270 for interim financial information and with the applicable instructions of U.S. Securities and Exchange Commission (“SEC”) Rule 10-01 of Regulation S-X on Form 10-Q, and should be read in conjunction with the consolidated financial statements and related notes of the Company in its Annual Report on Form 10-K for the year ended December 31, 2025.</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fiscal year of Gartner is the twelve-month period from January 1 through December 31. In the opinion of management, all normal recurring accruals and adjustments considered necessary for a fair presentation of financial position, results of operations and cash flows at the dates and for the periods presented herein have been included. The results of operations for the three and nine months ended September 30, 2026 may not be indicative of the results of operations for the remainder of 2026 or beyond. When used in these notes, the terms “Gartner,” the “Company,” “we,” “us,” or “our” refer to Gartner, Inc. and its consolidated subsidiaries.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 The accompanying interim Condensed Consolidated Financial Statements include the accounts of the Company and its wholly-owned subsidiaries. All intercompany transactions and balances have been eliminated.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 The preparation of the accompanying interim Condensed Consolidated Financial Statements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about 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deferred tax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 accompanying Condensed Consolidated Financial Statements to be reasonable.</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estimates and actual results could be material and would be reflected in the Company’s consolidated financial statements in future periods.</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 is recognized in accordance with the requirements of FASB ASC Topic 606,</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606”). Revenue is only recognized when all of the required criteria for revenue recognition have been met. The accompanying Condensed Consolidated Statements of Operations present revenue net of any sales or value-added taxes that we collect from customers and remit to government authorities. ASC Topic 270 requires certain disclosures in interim financial statements around the nature, amount, timing and uncertainty of revenue and cash flows arising from contracts with customers. Note 4 — Revenue and Related Matters provides additional information regarding the Company’s revenues.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standard</w:t>
      </w:r>
      <w:r>
        <w:rPr>
          <w:rFonts w:ascii="Times New Roman" w:cs="Times New Roman" w:eastAsia="Times New Roman" w:hAnsi="Times New Roman"/>
          <w:sz w:val="18"/>
          <w:szCs w:val="18"/>
          <w:color w:val="auto"/>
        </w:rPr>
        <w:t>. The Company adopted the accounting standard described below during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In July 2025, the FASB issued ASU 2025-05</w:t>
      </w:r>
      <w:r>
        <w:rPr>
          <w:rFonts w:ascii="Times New Roman" w:cs="Times New Roman" w:eastAsia="Times New Roman" w:hAnsi="Times New Roman"/>
          <w:sz w:val="18"/>
          <w:szCs w:val="18"/>
          <w:i w:val="1"/>
          <w:iCs w:val="1"/>
          <w:color w:val="auto"/>
        </w:rPr>
        <w:t xml:space="preserve">, Financial Instruments – Credit Losses (Topic 326) </w:t>
      </w:r>
      <w:r>
        <w:rPr>
          <w:rFonts w:ascii="Times New Roman" w:cs="Times New Roman" w:eastAsia="Times New Roman" w:hAnsi="Times New Roman"/>
          <w:sz w:val="18"/>
          <w:szCs w:val="18"/>
          <w:color w:val="auto"/>
        </w:rPr>
        <w:t>(“ASU 2025-05”). The amendments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introduce a practical expedient for all entities related to applying Subtopic 326-20 to current accounts receivable and current contract assets arising from transactions accounted for under Topic 606. In developing reasonable and supportable forecasts as part of estimating expected credit losses, all entities may elect a practical expedient that assumes that current conditions as of the balance sheet date do not change for the remaining life of the asset. The amendments are expected to provide decision-useful information to investors and other financial statement users while reducing the time and effort necessary to analyze and estimate credit losses for current accounts receivable and current contract assets. The amendments were effective for annual reporting periods beginning after December 15, 2025, and interim reporting periods within those annual reporting periods. The Company adopted ASU 2025-05 effective in 2026 and the adoption had no impacts to the Company's results of operations, cash flows, or financial condition.</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Accounting standards issued but not yet adopted. </w:t>
      </w:r>
      <w:r>
        <w:rPr>
          <w:rFonts w:ascii="Times New Roman" w:cs="Times New Roman" w:eastAsia="Times New Roman" w:hAnsi="Times New Roman"/>
          <w:sz w:val="18"/>
          <w:szCs w:val="18"/>
          <w:color w:val="auto"/>
        </w:rPr>
        <w:t>The FASB has issued accounting standards that have not yet become effective as of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may impact the Company’s Consolidated Financial Statements or related disclosures in future periods. The standards and their potential impacts are discussed below.</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In November 2024, the FASB issued ASU 2024-03,</w:t>
      </w:r>
      <w:r>
        <w:rPr>
          <w:rFonts w:ascii="Times New Roman" w:cs="Times New Roman" w:eastAsia="Times New Roman" w:hAnsi="Times New Roman"/>
          <w:sz w:val="18"/>
          <w:szCs w:val="18"/>
          <w:i w:val="1"/>
          <w:iCs w:val="1"/>
          <w:color w:val="auto"/>
        </w:rPr>
        <w:t xml:space="preserve"> Income Statement-Reporting Comprehensive Income- Expense Disaggregation Disclosures </w:t>
      </w:r>
      <w:r>
        <w:rPr>
          <w:rFonts w:ascii="Times New Roman" w:cs="Times New Roman" w:eastAsia="Times New Roman" w:hAnsi="Times New Roman"/>
          <w:sz w:val="18"/>
          <w:szCs w:val="18"/>
          <w:color w:val="auto"/>
        </w:rPr>
        <w:t>(“ASU 2024-03”). The amendments in this ASU are expected to improve the disclosures about a public business entity’s expenses and address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requests from investors for more detailed information about the types of expenses (including employee compensation, depreciation and amortization) in commonly presented expense captions (such as cost of sales, SG&amp;A and research and development). ASU 2024-03 will require a quantitative disclosure of the components of each income statement expense line item (e.g., cost of services and product development and selling, general and administrative expenses). It will also require entities to disclose the total amount of selling expenses, and, on an annual basis, an entity’s definition of selling expenses. The amendments are effective for annual reporting periods with fiscal years beginning after December 15, 2026, and interim reporting periods in fiscal years beginning after December 15, 2027. The Company expects this ASU to only impact its disclosures with no impacts to the Company's results of operations, cash flows, or financial condition.</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In September 2025, the FASB issued</w:t>
      </w:r>
      <w:r>
        <w:rPr>
          <w:rFonts w:ascii="Times New Roman" w:cs="Times New Roman" w:eastAsia="Times New Roman" w:hAnsi="Times New Roman"/>
          <w:sz w:val="18"/>
          <w:szCs w:val="18"/>
          <w:i w:val="1"/>
          <w:iCs w:val="1"/>
          <w:color w:val="auto"/>
        </w:rPr>
        <w:t xml:space="preserve"> ASU 2025-06, Intangibles-Goodwill and Other-Internal Use Software (Subtopic 350-40)</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ASU remove all references to project stages, and requires entities to start capitalizing software costs when (1) management has authorized and committed to funding the software project and (2) it is probable that the project will be completed and the software will be used to perform the function intended. The amendments are effective for annual reporting periods with fiscal years beginning after December 15, 2027, and interim reporting periods within those annual reporting periods. The Company expects this ASU will not have a material impact to the Company's results of operations, cash flows, or financial condition.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Divestiture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2026, the Company completed the sale of its Digital Markets business, for approximately $99.8 million net of cash transferred. The Company recorded a pre-tax gain of $6.8 million on the sale, which is included in Gain from sale of divested operation in the Consolidated Statement of Operations during the nine months ended September 30, 2026. The Digital Markets business was included in the Company’s Other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Goodwill and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acquired businesses over the estimated fair values of the tangible and identifiable 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a quantitative impairment test is performed. Evaluating the recoverability of goodwill requires judgments and assumptions regarding future trends and events. As a result, both the precision and reliability of the estimates are subject to uncertainty.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most recent annual impairment test of goodwill was a qualitative analysis conducted during the quarter ended September 30, 2026 that indicated no impairment. Subsequent to completing the 2026 annual impairment test, there were no events or changes in circumstances noted that required an interim impairment test.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ongoing weakness in the market as well as changes in the Company’s internal organization structure prompted a revision to the long-term earnings forecast for the Digital Markets business, and as a result, a goodwill impairment loss of $150.0 million was recognized in the Digital Markets reporting unit.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changes to the carrying amount of goodwill by segment during the nine months ended September 30, 2026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2,460,315</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184,052</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96,435</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2,740,802</w:t>
            </w:r>
          </w:p>
        </w:tc>
      </w:tr>
      <w:tr>
        <w:trPr>
          <w:trHeight w:val="24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r>
      <w:tr>
        <w:trPr>
          <w:trHeight w:val="262"/>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2,458,688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2,738,892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reconciliations of the carrying amounts of the Company’s finite-lived intangible assets as of the dates indicated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300" w:type="dxa"/>
            <w:vAlign w:val="bottom"/>
          </w:tcPr>
          <w:p>
            <w:pPr>
              <w:spacing w:after="0"/>
              <w:rPr>
                <w:sz w:val="17"/>
                <w:szCs w:val="17"/>
                <w:color w:val="auto"/>
              </w:rPr>
            </w:pPr>
          </w:p>
        </w:tc>
        <w:tc>
          <w:tcPr>
            <w:tcW w:w="1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 at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1,021,757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1,031,957</w:t>
            </w:r>
          </w:p>
        </w:tc>
        <w:tc>
          <w:tcPr>
            <w:tcW w:w="0" w:type="dxa"/>
            <w:vAlign w:val="bottom"/>
          </w:tcPr>
          <w:p>
            <w:pPr>
              <w:spacing w:after="0"/>
              <w:rPr>
                <w:sz w:val="1"/>
                <w:szCs w:val="1"/>
                <w:color w:val="auto"/>
              </w:rPr>
            </w:pPr>
          </w:p>
        </w:tc>
      </w:tr>
      <w:tr>
        <w:trPr>
          <w:trHeight w:val="24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0" w:type="dxa"/>
            <w:vAlign w:val="bottom"/>
          </w:tcPr>
          <w:p>
            <w:pPr>
              <w:spacing w:after="0"/>
              <w:rPr>
                <w:sz w:val="1"/>
                <w:szCs w:val="1"/>
                <w:color w:val="auto"/>
              </w:rPr>
            </w:pPr>
          </w:p>
        </w:tc>
      </w:tr>
      <w:tr>
        <w:trPr>
          <w:trHeight w:val="237"/>
        </w:trPr>
        <w:tc>
          <w:tcPr>
            <w:tcW w:w="6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4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1,017,238</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1,027,438</w:t>
            </w: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Accumulated amortization</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(743,555)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(752,500)</w:t>
            </w:r>
          </w:p>
        </w:tc>
        <w:tc>
          <w:tcPr>
            <w:tcW w:w="0" w:type="dxa"/>
            <w:vAlign w:val="bottom"/>
          </w:tcPr>
          <w:p>
            <w:pPr>
              <w:spacing w:after="0"/>
              <w:rPr>
                <w:sz w:val="1"/>
                <w:szCs w:val="1"/>
                <w:color w:val="auto"/>
              </w:rPr>
            </w:pPr>
          </w:p>
        </w:tc>
      </w:tr>
      <w:tr>
        <w:trPr>
          <w:trHeight w:val="262"/>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274,938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300" w:type="dxa"/>
            <w:vAlign w:val="bottom"/>
          </w:tcPr>
          <w:p>
            <w:pPr>
              <w:spacing w:after="0"/>
              <w:rPr>
                <w:sz w:val="18"/>
                <w:szCs w:val="18"/>
                <w:color w:val="auto"/>
              </w:rPr>
            </w:pPr>
          </w:p>
        </w:tc>
        <w:tc>
          <w:tcPr>
            <w:tcW w:w="1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7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1,021,757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1,031,957</w:t>
            </w: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Accumulated amortization</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(695,654)</w:t>
            </w:r>
          </w:p>
        </w:tc>
        <w:tc>
          <w:tcPr>
            <w:tcW w:w="0" w:type="dxa"/>
            <w:vAlign w:val="bottom"/>
          </w:tcPr>
          <w:p>
            <w:pPr>
              <w:spacing w:after="0"/>
              <w:rPr>
                <w:sz w:val="1"/>
                <w:szCs w:val="1"/>
                <w:color w:val="auto"/>
              </w:rPr>
            </w:pPr>
          </w:p>
        </w:tc>
      </w:tr>
      <w:tr>
        <w:trPr>
          <w:trHeight w:val="261"/>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line="282" w:lineRule="auto"/>
        <w:tabs>
          <w:tab w:leader="none" w:pos="2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Finite-lived intangible assets are amortized using the straight-line method over the following periods: Customer relationships—6 to 13 years and Other —11 years.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related to finite-lived intangible assets was $20.0 million and $20.2 million during the three months ended September 30, 2026 and 2025, and $60.1 million and $62.3 million during the nine months ended September 30, 2026 and 2025, respectively. The estimated future amortization expense by year for finite-lived intangible assets is presented in the table below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79,237</w:t>
            </w:r>
          </w:p>
        </w:tc>
      </w:tr>
      <w:tr>
        <w:trPr>
          <w:trHeight w:val="24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77,766</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77,688</w:t>
            </w:r>
          </w:p>
        </w:tc>
      </w:tr>
      <w:tr>
        <w:trPr>
          <w:trHeight w:val="24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w:t>
            </w:r>
          </w:p>
        </w:tc>
      </w:tr>
      <w:tr>
        <w:trPr>
          <w:trHeight w:val="236"/>
        </w:trPr>
        <w:tc>
          <w:tcPr>
            <w:tcW w:w="978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274,938</w:t>
            </w:r>
          </w:p>
        </w:tc>
      </w:tr>
      <w:tr>
        <w:trPr>
          <w:trHeight w:val="21"/>
        </w:trPr>
        <w:tc>
          <w:tcPr>
            <w:tcW w:w="9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 and Related Matters</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1" w:name="page12"/>
    <w:bookmarkEnd w:id="11"/>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Disaggregated Revenue </w:t>
      </w:r>
      <w:r>
        <w:rPr>
          <w:rFonts w:ascii="Times New Roman" w:cs="Times New Roman" w:eastAsia="Times New Roman" w:hAnsi="Times New Roman"/>
          <w:sz w:val="18"/>
          <w:szCs w:val="18"/>
          <w:color w:val="auto"/>
        </w:rPr>
        <w:t>— The Company’s disaggregated revenue by reportable segment is presented in the tables below for the periods indicated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Primary Geographic Market</w:t>
            </w:r>
            <w:r>
              <w:rPr>
                <w:rFonts w:ascii="Times New Roman" w:cs="Times New Roman" w:eastAsia="Times New Roman" w:hAnsi="Times New Roman"/>
                <w:sz w:val="23"/>
                <w:szCs w:val="23"/>
                <w:b w:val="1"/>
                <w:bCs w:val="1"/>
                <w:color w:val="auto"/>
                <w:vertAlign w:val="superscript"/>
              </w:rPr>
              <w:t>(1)</w:t>
            </w:r>
          </w:p>
        </w:tc>
        <w:tc>
          <w:tcPr>
            <w:tcW w:w="23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2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38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2"/>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States and Canada</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International</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revenues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p>
      <w:pPr>
        <w:spacing w:after="0" w:line="36"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b w:val="1"/>
          <w:bCs w:val="1"/>
          <w:color w:val="auto"/>
        </w:rPr>
        <w:t>Primary Geographic Market</w:t>
      </w:r>
      <w:r>
        <w:rPr>
          <w:sz w:val="20"/>
          <w:szCs w:val="20"/>
          <w:color w:val="auto"/>
        </w:rPr>
        <w:tab/>
      </w:r>
      <w:r>
        <w:rPr>
          <w:rFonts w:ascii="Times New Roman" w:cs="Times New Roman" w:eastAsia="Times New Roman" w:hAnsi="Times New Roman"/>
          <w:sz w:val="17"/>
          <w:szCs w:val="17"/>
          <w:b w:val="1"/>
          <w:bCs w:val="1"/>
          <w:color w:val="auto"/>
        </w:rPr>
        <w:t>Insights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21,422</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884,267</w:t>
            </w:r>
          </w:p>
        </w:tc>
      </w:tr>
      <w:tr>
        <w:trPr>
          <w:trHeight w:val="243"/>
        </w:trPr>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353,260</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38,789</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27,645</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419,694</w:t>
            </w:r>
          </w:p>
        </w:tc>
      </w:tr>
      <w:tr>
        <w:trPr>
          <w:trHeight w:val="243"/>
        </w:trPr>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163,437</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25,792</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11,601</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200,830</w:t>
            </w:r>
          </w:p>
        </w:tc>
      </w:tr>
      <w:tr>
        <w:trPr>
          <w:trHeight w:val="236"/>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1,292,434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86,003</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126,354</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1,504,791</w:t>
            </w: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14"/>
        </w:trPr>
        <w:tc>
          <w:tcPr>
            <w:tcW w:w="14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00" w:type="dxa"/>
            <w:vAlign w:val="bottom"/>
          </w:tcPr>
          <w:p>
            <w:pPr>
              <w:spacing w:after="0"/>
              <w:rPr>
                <w:sz w:val="24"/>
                <w:szCs w:val="24"/>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Pr>
          <w:p>
            <w:pPr>
              <w:spacing w:after="0"/>
              <w:rPr>
                <w:sz w:val="24"/>
                <w:szCs w:val="24"/>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bl>
    <w:p>
      <w:pPr>
        <w:spacing w:after="0" w:line="1" w:lineRule="exact"/>
        <w:rPr>
          <w:sz w:val="20"/>
          <w:szCs w:val="20"/>
          <w:color w:val="auto"/>
        </w:rPr>
      </w:pPr>
    </w:p>
    <w:p>
      <w:pPr>
        <w:sectPr>
          <w:pgSz w:w="11900" w:h="16838" w:orient="portrait"/>
          <w:cols w:equalWidth="0" w:num="2">
            <w:col w:w="5440" w:space="380"/>
            <w:col w:w="5420"/>
          </w:cols>
          <w:pgMar w:left="320" w:top="889"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770,945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78,299</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46,891</w:t>
            </w: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907,568</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340,492</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39,356</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418,727</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159,287</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23,765</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12,287</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197,777</w:t>
            </w: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1,270,724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123,573</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55,221</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1,524,072</w:t>
            </w:r>
          </w:p>
        </w:tc>
        <w:tc>
          <w:tcPr>
            <w:tcW w:w="0" w:type="dxa"/>
            <w:vAlign w:val="bottom"/>
          </w:tcPr>
          <w:p>
            <w:pPr>
              <w:spacing w:after="0"/>
              <w:rPr>
                <w:sz w:val="1"/>
                <w:szCs w:val="1"/>
                <w:color w:val="auto"/>
              </w:rPr>
            </w:pPr>
          </w:p>
        </w:tc>
      </w:tr>
      <w:tr>
        <w:trPr>
          <w:trHeight w:val="21"/>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260,659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2,832,824</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1,065,438</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115,027</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94,172</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1,277,995</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494,430</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52,477</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32,568</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580,956</w:t>
            </w: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3,876,499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408,485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387,399</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4,691,775</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2,342,406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261,042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149,069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2,957,819</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977,139</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103,793</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108,086</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1,209,780</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470,253</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49,463</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49,745</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577,057</w:t>
            </w: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3,789,798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358,558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418,873</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177,427</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4,744,656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34715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Revenue is reported based on where the sale is fulfilled.</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revenues are generated primarily through direct sales to clients by domestic and international sales forces and several independent international sales agents.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Timing of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Transferred over time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94,196</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1,384,577</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Transferred at a point in time</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86,003</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32,158</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120,214</w:t>
            </w:r>
          </w:p>
        </w:tc>
        <w:tc>
          <w:tcPr>
            <w:tcW w:w="0" w:type="dxa"/>
            <w:vAlign w:val="bottom"/>
          </w:tcPr>
          <w:p>
            <w:pPr>
              <w:spacing w:after="0"/>
              <w:rPr>
                <w:sz w:val="1"/>
                <w:szCs w:val="1"/>
                <w:color w:val="auto"/>
              </w:rPr>
            </w:pPr>
          </w:p>
        </w:tc>
      </w:tr>
      <w:tr>
        <w:trPr>
          <w:trHeight w:val="261"/>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1,504,791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Transferred over time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1,362,968</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Transferred at a point in time</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29,530</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54,756</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161,104</w:t>
            </w:r>
          </w:p>
        </w:tc>
        <w:tc>
          <w:tcPr>
            <w:tcW w:w="0" w:type="dxa"/>
            <w:vAlign w:val="bottom"/>
          </w:tcPr>
          <w:p>
            <w:pPr>
              <w:spacing w:after="0"/>
              <w:rPr>
                <w:sz w:val="1"/>
                <w:szCs w:val="1"/>
                <w:color w:val="auto"/>
              </w:rPr>
            </w:pPr>
          </w:p>
        </w:tc>
      </w:tr>
      <w:tr>
        <w:trPr>
          <w:trHeight w:val="262"/>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1,270,724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55,221</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1,524,072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Transferred over time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3,870,284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4,150,513</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Transferred at a point in time</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408,485</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107,244</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19,318</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541,262</w:t>
            </w:r>
          </w:p>
        </w:tc>
        <w:tc>
          <w:tcPr>
            <w:tcW w:w="0" w:type="dxa"/>
            <w:vAlign w:val="bottom"/>
          </w:tcPr>
          <w:p>
            <w:pPr>
              <w:spacing w:after="0"/>
              <w:rPr>
                <w:sz w:val="1"/>
                <w:szCs w:val="1"/>
                <w:color w:val="auto"/>
              </w:rPr>
            </w:pPr>
          </w:p>
        </w:tc>
      </w:tr>
      <w:tr>
        <w:trPr>
          <w:trHeight w:val="261"/>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3,876,499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4,691,775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Transferred over time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3,781,197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4,090,501</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Transferred at a point in time</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358,558</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110,796</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176,200</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654,155</w:t>
            </w:r>
          </w:p>
        </w:tc>
        <w:tc>
          <w:tcPr>
            <w:tcW w:w="0" w:type="dxa"/>
            <w:vAlign w:val="bottom"/>
          </w:tcPr>
          <w:p>
            <w:pPr>
              <w:spacing w:after="0"/>
              <w:rPr>
                <w:sz w:val="1"/>
                <w:szCs w:val="1"/>
                <w:color w:val="auto"/>
              </w:rPr>
            </w:pPr>
          </w:p>
        </w:tc>
      </w:tr>
      <w:tr>
        <w:trPr>
          <w:trHeight w:val="262"/>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3,789,798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418,873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177,427</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4,744,656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4715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57"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Insights revenues in this category are recognized in connection with performance obligations that are satisfied over time using a time-elapsed output method to measure progress. Consulting revenues in this category are recognized over time using costs incurred to date relative to total estimated costs at completion.</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in this category are recognized in connection with performance obligations that are satisfied at the point in time that the contractual deliverables are provided to the customer.</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Performance Obligations </w:t>
      </w:r>
      <w:r>
        <w:rPr>
          <w:rFonts w:ascii="Times New Roman" w:cs="Times New Roman" w:eastAsia="Times New Roman" w:hAnsi="Times New Roman"/>
          <w:sz w:val="17"/>
          <w:szCs w:val="17"/>
          <w:color w:val="auto"/>
        </w:rPr>
        <w:t>— For customer contracts that are greater than one year in duration, the aggregate amount of the transaction price allocated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obligations that were unsatisfied (or partially unsatisfied) as of September 30, 2026 was approximately $6.3 billion. The Company expects to recognize $1.2 billion, $3.4 billion and $1.7 billion of this revenue (most of which pertains to Insights) during the remainder of 2026, the year ending December 31, 2027 and thereafter, respectively. The Company applies a practical expedient that is permitted under ASC Topic 606 and, accordingly, it does not disclose such performance obligation information for customer contracts that have original durations of one year or less. The Company’s performance obligations for contracts meeting this ASC Topic 606 disclosure exclusion primarily include: (i) stand-ready services under Insights subscription contracts;</w:t>
      </w:r>
    </w:p>
    <w:p>
      <w:pPr>
        <w:spacing w:after="0" w:line="2" w:lineRule="exact"/>
        <w:rPr>
          <w:sz w:val="20"/>
          <w:szCs w:val="20"/>
          <w:color w:val="auto"/>
        </w:rPr>
      </w:pPr>
    </w:p>
    <w:p>
      <w:pPr>
        <w:jc w:val="both"/>
        <w:ind w:firstLine="8"/>
        <w:spacing w:after="0" w:line="255" w:lineRule="auto"/>
        <w:tabs>
          <w:tab w:leader="none" w:pos="2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conferences and meetings where attendees and exhibitors can participate; and (iii) providing customized Consulting solutions for clients under fixed fee and time and materials engagements. The remaining duration of these performance obligations is generally less than one year, which aligns with the period that the parties have enforceable rights and obligations under the affected contracts.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Contract Assets and Liabilities </w:t>
      </w:r>
      <w:r>
        <w:rPr>
          <w:rFonts w:ascii="Times New Roman" w:cs="Times New Roman" w:eastAsia="Times New Roman" w:hAnsi="Times New Roman"/>
          <w:sz w:val="18"/>
          <w:szCs w:val="18"/>
          <w:color w:val="auto"/>
        </w:rPr>
        <w:t>— The timing of the recognition of revenue and the amount and timing of the Company’s billings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collections, including upfront customer payments, result in the recognition of both assets and liabilities on the Company’s Condensed Consolidated Balance Sheets. The table below provides information regarding certain of the Company’s balance sheet accounts that pertain to its contracts with customers (in thousands).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7720" w:type="dxa"/>
            <w:vAlign w:val="bottom"/>
            <w:tcBorders>
              <w:bottom w:val="single" w:sz="8" w:color="CCEEFF"/>
            </w:tcBorders>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Fees receivable, gross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1,037,227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1,689,522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Contract assets recorded in Prepaid expenses and other current assets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40,534</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7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Deferred revenues (current liability)</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2,576,041</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2,810,056</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Non-current deferred revenues recorded in Other liabilities</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28,758</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31,569</w:t>
            </w:r>
          </w:p>
        </w:tc>
        <w:tc>
          <w:tcPr>
            <w:tcW w:w="0" w:type="dxa"/>
            <w:vAlign w:val="bottom"/>
          </w:tcPr>
          <w:p>
            <w:pPr>
              <w:spacing w:after="0"/>
              <w:rPr>
                <w:sz w:val="1"/>
                <w:szCs w:val="1"/>
                <w:color w:val="auto"/>
              </w:rPr>
            </w:pPr>
          </w:p>
        </w:tc>
      </w:tr>
      <w:tr>
        <w:trPr>
          <w:trHeight w:val="262"/>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2,604,799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2,841,625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480" w:type="dxa"/>
            <w:vAlign w:val="bottom"/>
            <w:tcBorders>
              <w:bottom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receivable represent an unconditional right to payment from the Company’s customers and include both billed and unbilled amounts.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 represent recognized revenue for which the Company does not have an unconditional right to payment as of the balance sheet date because the project may be subject to a progress billing milestone or some other billing restrictions.</w:t>
      </w:r>
    </w:p>
    <w:p>
      <w:pPr>
        <w:ind w:left="340" w:right="20" w:hanging="332"/>
        <w:spacing w:after="0" w:line="260"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represent amounts (i) for which the Company has received an upfront customer payment or (ii) that pertain to recognized fees receivable. Both situations occur before the completion of the Company’s performance obligation(s).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recognized revenue of $1.2 billion and $1.1 billion during the three months ended September 30, 2026 and 2025, and $2.3 billion and $2.2 billion during the nine months ended September 30, 2026 and 2025, respectively, that was attributable to deferred revenues that were recorded at the beginning of each such period. Those amounts primarily consisted of Insights revenues that were recognized ratably as control of the goods or services passed to the customer during the reporting periods. During each of the three months ended September 30, 2026 and 2025, the Company did not record any material impairments related to its contract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Computation of Earnings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shares of common stock, par value $0.0005 per share, (the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calculation of basic and diluted income per share for the periods indicated (in thousands, except per share data).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20"/>
                <w:szCs w:val="20"/>
                <w:color w:val="auto"/>
              </w:rPr>
            </w:pPr>
          </w:p>
        </w:tc>
        <w:tc>
          <w:tcPr>
            <w:tcW w:w="22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3"/>
        </w:trPr>
        <w:tc>
          <w:tcPr>
            <w:tcW w:w="5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1"/>
                <w:szCs w:val="21"/>
                <w:color w:val="auto"/>
              </w:rPr>
            </w:pPr>
          </w:p>
        </w:tc>
        <w:tc>
          <w:tcPr>
            <w:tcW w:w="22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548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and diluted income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214,419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712,261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487,079</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8"/>
        </w:trPr>
        <w:tc>
          <w:tcPr>
            <w:tcW w:w="61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common shares used in the calculation of basic income per</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76,466</w:t>
            </w:r>
          </w:p>
        </w:tc>
      </w:tr>
      <w:tr>
        <w:trPr>
          <w:trHeight w:val="194"/>
        </w:trPr>
        <w:tc>
          <w:tcPr>
            <w:tcW w:w="610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Dilutive effect of outstanding awards associated with stock-based compensation</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8"/>
        </w:trPr>
        <w:tc>
          <w:tcPr>
            <w:tcW w:w="610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plans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3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income per share</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63,948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76,758</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62"/>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0"/>
        </w:trPr>
        <w:tc>
          <w:tcPr>
            <w:tcW w:w="5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54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90" w:lineRule="exact"/>
        <w:rPr>
          <w:sz w:val="20"/>
          <w:szCs w:val="20"/>
          <w:color w:val="auto"/>
        </w:rPr>
      </w:pPr>
    </w:p>
    <w:p>
      <w:pPr>
        <w:jc w:val="both"/>
        <w:ind w:left="340" w:hanging="332"/>
        <w:spacing w:after="0" w:line="252" w:lineRule="auto"/>
        <w:tabs>
          <w:tab w:leader="none" w:pos="352"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Certain outstanding awards associated with stock-based compensation plans were not included in the computation of diluted income per share because the effect would have been anti-dilutive. These anti-dilutive outstanding awards associated with stock-based compensation plans was 0.9 million and 0.7 million for the three months ended September 30,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color w:val="auto"/>
        </w:rPr>
        <w:t>2026 and 2025, respectively, and 0.9 million and 0.3 million for the nine months ended September 30, 2026 and 2025,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September 30, 2026, the Company had 3.9 million shares of its Common Stock available for stock-based compensation awards under the Gartner, Inc. Long-Term Incentive Plan as amended and restated in June 2023 (the “Plan”).</w:t>
      </w:r>
    </w:p>
    <w:p>
      <w:pPr>
        <w:spacing w:after="0" w:line="20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tables below summarize the Company’s stock-based compensation expense by award type and expense category line item during the periods indicated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40" w:type="dxa"/>
            <w:vAlign w:val="bottom"/>
          </w:tcPr>
          <w:p>
            <w:pPr>
              <w:spacing w:after="0"/>
              <w:rPr>
                <w:sz w:val="20"/>
                <w:szCs w:val="20"/>
                <w:color w:val="auto"/>
              </w:rPr>
            </w:pPr>
          </w:p>
        </w:tc>
      </w:tr>
      <w:tr>
        <w:trPr>
          <w:trHeight w:val="243"/>
        </w:trPr>
        <w:tc>
          <w:tcPr>
            <w:tcW w:w="5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Borders>
              <w:bottom w:val="single" w:sz="8" w:color="auto"/>
            </w:tcBorders>
          </w:tcPr>
          <w:p>
            <w:pPr>
              <w:spacing w:after="0"/>
              <w:rPr>
                <w:sz w:val="21"/>
                <w:szCs w:val="21"/>
                <w:color w:val="auto"/>
              </w:rPr>
            </w:pPr>
          </w:p>
        </w:tc>
      </w:tr>
      <w:tr>
        <w:trPr>
          <w:trHeight w:val="236"/>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00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4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7"/>
        </w:trPr>
        <w:tc>
          <w:tcPr>
            <w:tcW w:w="5560" w:type="dxa"/>
            <w:vAlign w:val="bottom"/>
          </w:tcPr>
          <w:p>
            <w:pPr>
              <w:ind w:left="220"/>
              <w:spacing w:after="0" w:line="236"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125.3</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1"/>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3"/>
        </w:trPr>
        <w:tc>
          <w:tcPr>
            <w:tcW w:w="5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Expense category line item</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43"/>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62"/>
        </w:trPr>
        <w:tc>
          <w:tcPr>
            <w:tcW w:w="5680" w:type="dxa"/>
            <w:vAlign w:val="bottom"/>
            <w:tcBorders>
              <w:bottom w:val="single" w:sz="8" w:color="CCEEFF"/>
            </w:tcBorders>
            <w:gridSpan w:val="2"/>
            <w:shd w:val="clear" w:color="auto" w:fill="CCEEFF"/>
          </w:tcPr>
          <w:p>
            <w:pPr>
              <w:ind w:left="220"/>
              <w:spacing w:after="0" w:line="236"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(1)</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34715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both"/>
        <w:ind w:left="340" w:hanging="332"/>
        <w:spacing w:after="0" w:line="259" w:lineRule="auto"/>
        <w:tabs>
          <w:tab w:leader="none" w:pos="32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Includes costs of $15.3 million and $11.0 million during the three months ended September 30, 2026 and 2025, and $56.5 million and $58.0 million during the nine months ended September 30, 2026 and 2025, respectively, for awards to retirement-eligible employees. Those awards are expensed on an accelerated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Segment Information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products and services are delivered through three reportable segments – Business and Technology Insights, or “Insights”, Conferences and Consulting, as described below.</w:t>
      </w:r>
    </w:p>
    <w:p>
      <w:pPr>
        <w:spacing w:after="0" w:line="185" w:lineRule="exact"/>
        <w:rPr>
          <w:sz w:val="20"/>
          <w:szCs w:val="20"/>
          <w:color w:val="auto"/>
        </w:rPr>
      </w:pPr>
    </w:p>
    <w:p>
      <w:pPr>
        <w:jc w:val="both"/>
        <w:ind w:left="340" w:hanging="332"/>
        <w:spacing w:after="0" w:line="268"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Insights </w:t>
      </w:r>
      <w:r>
        <w:rPr>
          <w:rFonts w:ascii="Times New Roman" w:cs="Times New Roman" w:eastAsia="Times New Roman" w:hAnsi="Times New Roman"/>
          <w:sz w:val="18"/>
          <w:szCs w:val="18"/>
          <w:color w:val="auto"/>
        </w:rPr>
        <w:t>equips executives and their teams from every function and across all industries with actionable, objective business and technology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and tools. Our experienced experts deliver all this value informed by an unmatched combination of practitioner-sourced and data-driven research to help our clients address their mission critical priorities.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28"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industry-leading conferences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peer-driven communities – each focused on the mission-critical priorities of specific business roles – our offerings enable attendees to experience the best of Gartner insights and guidance.</w:t>
      </w:r>
    </w:p>
    <w:p>
      <w:pPr>
        <w:spacing w:after="0" w:line="222" w:lineRule="exact"/>
        <w:rPr>
          <w:rFonts w:ascii="Arial" w:cs="Arial" w:eastAsia="Arial" w:hAnsi="Arial"/>
          <w:sz w:val="20"/>
          <w:szCs w:val="20"/>
          <w:color w:val="auto"/>
        </w:rPr>
      </w:pPr>
    </w:p>
    <w:p>
      <w:pPr>
        <w:jc w:val="both"/>
        <w:ind w:left="340" w:hanging="332"/>
        <w:spacing w:after="0" w:line="261" w:lineRule="auto"/>
        <w:tabs>
          <w:tab w:leader="none" w:pos="301"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is its chief operating decision maker (CODM). The CODM evaluates segment performance and allocates resources based on gross contribution. Gross contribution, as presented in the tables below, is defined as operating income or loss excluding certain Cost of services and product development expenses, Selling, general and administrative expenses, Depreciation, Amortization of intangibles, goodwill impairment and Gain from sale of divested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operation. Certain bonus and fringe benefit costs included in consolidated Cost of services and product development are not allocated to segment expense. The CODM uses gross contribution to allocate resources (including financial resources and employees) for each segment primarily in the Company's annual budgeting process. The CODM then monitors budgeted versus actual results regularly to assess segment operating performance, identify business trends, and modify resource allocations as needed. The accounting policies used by the reportable segments are the same as those used by the Company. There are no intersegment revenues. The Company does not identify or allocate assets, including capital expenditures, by reportable segment. Accordingly, assets are not reported by segment because the information is not available by segment and is not reviewed in the evaluation of segment performance or in making decisions regarding the allocation of resources.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reportable segments for the periods indicated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24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1,504,791</w:t>
            </w:r>
          </w:p>
        </w:tc>
        <w:tc>
          <w:tcPr>
            <w:tcW w:w="0" w:type="dxa"/>
            <w:vAlign w:val="bottom"/>
          </w:tcPr>
          <w:p>
            <w:pPr>
              <w:spacing w:after="0"/>
              <w:rPr>
                <w:sz w:val="1"/>
                <w:szCs w:val="1"/>
                <w:color w:val="auto"/>
              </w:rPr>
            </w:pPr>
          </w:p>
        </w:tc>
      </w:tr>
      <w:tr>
        <w:trPr>
          <w:trHeight w:val="243"/>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expenses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274,566</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76,226</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370,549</w:t>
            </w:r>
          </w:p>
        </w:tc>
        <w:tc>
          <w:tcPr>
            <w:tcW w:w="0" w:type="dxa"/>
            <w:vAlign w:val="bottom"/>
          </w:tcPr>
          <w:p>
            <w:pPr>
              <w:spacing w:after="0"/>
              <w:rPr>
                <w:sz w:val="1"/>
                <w:szCs w:val="1"/>
                <w:color w:val="auto"/>
              </w:rPr>
            </w:pPr>
          </w:p>
        </w:tc>
      </w:tr>
      <w:tr>
        <w:trPr>
          <w:trHeight w:val="243"/>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and content delivery expenses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32,097</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43,006</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0" w:type="dxa"/>
            <w:vAlign w:val="bottom"/>
          </w:tcPr>
          <w:p>
            <w:pPr>
              <w:spacing w:after="0"/>
              <w:rPr>
                <w:sz w:val="1"/>
                <w:szCs w:val="1"/>
                <w:color w:val="auto"/>
              </w:rPr>
            </w:pPr>
          </w:p>
        </w:tc>
      </w:tr>
      <w:tr>
        <w:trPr>
          <w:trHeight w:val="23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contribution</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1,002,919</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29,981</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42,735</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1,075,635</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Cost of services and product development - unallocated</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746,842</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0" w:type="dxa"/>
            <w:vAlign w:val="bottom"/>
          </w:tcPr>
          <w:p>
            <w:pPr>
              <w:spacing w:after="0"/>
              <w:rPr>
                <w:sz w:val="1"/>
                <w:szCs w:val="1"/>
                <w:color w:val="auto"/>
              </w:rPr>
            </w:pPr>
          </w:p>
        </w:tc>
      </w:tr>
      <w:tr>
        <w:trPr>
          <w:trHeight w:val="243"/>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expenses and other, net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25,430</w:t>
            </w:r>
          </w:p>
        </w:tc>
        <w:tc>
          <w:tcPr>
            <w:tcW w:w="0" w:type="dxa"/>
            <w:vAlign w:val="bottom"/>
          </w:tcPr>
          <w:p>
            <w:pPr>
              <w:spacing w:after="0"/>
              <w:rPr>
                <w:sz w:val="1"/>
                <w:szCs w:val="1"/>
                <w:color w:val="auto"/>
              </w:rPr>
            </w:pPr>
          </w:p>
        </w:tc>
      </w:tr>
      <w:tr>
        <w:trPr>
          <w:trHeight w:val="237"/>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255,681</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(3)</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2"/>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1,270,724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1,524,072</w:t>
            </w:r>
          </w:p>
        </w:tc>
        <w:tc>
          <w:tcPr>
            <w:tcW w:w="0" w:type="dxa"/>
            <w:vAlign w:val="bottom"/>
          </w:tcPr>
          <w:p>
            <w:pPr>
              <w:spacing w:after="0"/>
              <w:rPr>
                <w:sz w:val="1"/>
                <w:szCs w:val="1"/>
                <w:color w:val="auto"/>
              </w:rPr>
            </w:pPr>
          </w:p>
        </w:tc>
      </w:tr>
      <w:tr>
        <w:trPr>
          <w:trHeight w:val="243"/>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expenses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282,516</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18,389</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81,040</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387,788</w:t>
            </w:r>
          </w:p>
        </w:tc>
        <w:tc>
          <w:tcPr>
            <w:tcW w:w="0" w:type="dxa"/>
            <w:vAlign w:val="bottom"/>
          </w:tcPr>
          <w:p>
            <w:pPr>
              <w:spacing w:after="0"/>
              <w:rPr>
                <w:sz w:val="1"/>
                <w:szCs w:val="1"/>
                <w:color w:val="auto"/>
              </w:rPr>
            </w:pPr>
          </w:p>
        </w:tc>
      </w:tr>
      <w:tr>
        <w:trPr>
          <w:trHeight w:val="243"/>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and content delivery expenses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28,738</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65,961</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0" w:type="dxa"/>
            <w:vAlign w:val="bottom"/>
          </w:tcPr>
          <w:p>
            <w:pPr>
              <w:spacing w:after="0"/>
              <w:rPr>
                <w:sz w:val="1"/>
                <w:szCs w:val="1"/>
                <w:color w:val="auto"/>
              </w:rPr>
            </w:pPr>
          </w:p>
        </w:tc>
      </w:tr>
      <w:tr>
        <w:trPr>
          <w:trHeight w:val="237"/>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contribution</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974,323</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27,312</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35,222</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20,069</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1,056,926</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Cost of services and product development - unallocated</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762,557</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50,953</w:t>
            </w:r>
          </w:p>
        </w:tc>
        <w:tc>
          <w:tcPr>
            <w:tcW w:w="0" w:type="dxa"/>
            <w:vAlign w:val="bottom"/>
          </w:tcPr>
          <w:p>
            <w:pPr>
              <w:spacing w:after="0"/>
              <w:rPr>
                <w:sz w:val="1"/>
                <w:szCs w:val="1"/>
                <w:color w:val="auto"/>
              </w:rPr>
            </w:pPr>
          </w:p>
        </w:tc>
      </w:tr>
      <w:tr>
        <w:trPr>
          <w:trHeight w:val="243"/>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expenses and other, net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0" w:type="dxa"/>
            <w:vAlign w:val="bottom"/>
          </w:tcPr>
          <w:p>
            <w:pPr>
              <w:spacing w:after="0"/>
              <w:rPr>
                <w:sz w:val="1"/>
                <w:szCs w:val="1"/>
                <w:color w:val="auto"/>
              </w:rPr>
            </w:pPr>
          </w:p>
        </w:tc>
      </w:tr>
      <w:tr>
        <w:trPr>
          <w:trHeight w:val="237"/>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64"/>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(3)</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3,876,499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387,399</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4,691,775</w:t>
            </w:r>
          </w:p>
        </w:tc>
        <w:tc>
          <w:tcPr>
            <w:tcW w:w="0" w:type="dxa"/>
            <w:vAlign w:val="bottom"/>
          </w:tcPr>
          <w:p>
            <w:pPr>
              <w:spacing w:after="0"/>
              <w:rPr>
                <w:sz w:val="1"/>
                <w:szCs w:val="1"/>
                <w:color w:val="auto"/>
              </w:rPr>
            </w:pPr>
          </w:p>
        </w:tc>
      </w:tr>
      <w:tr>
        <w:trPr>
          <w:trHeight w:val="243"/>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expenses</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822,194</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57,015</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232,668</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1,114,087</w:t>
            </w:r>
          </w:p>
        </w:tc>
        <w:tc>
          <w:tcPr>
            <w:tcW w:w="0" w:type="dxa"/>
            <w:vAlign w:val="bottom"/>
          </w:tcPr>
          <w:p>
            <w:pPr>
              <w:spacing w:after="0"/>
              <w:rPr>
                <w:sz w:val="1"/>
                <w:szCs w:val="1"/>
                <w:color w:val="auto"/>
              </w:rPr>
            </w:pPr>
          </w:p>
        </w:tc>
      </w:tr>
      <w:tr>
        <w:trPr>
          <w:trHeight w:val="243"/>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and content delivery expenses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132,499</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170,509</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22,354</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46,871</w:t>
            </w:r>
          </w:p>
        </w:tc>
        <w:tc>
          <w:tcPr>
            <w:tcW w:w="0" w:type="dxa"/>
            <w:vAlign w:val="bottom"/>
          </w:tcPr>
          <w:p>
            <w:pPr>
              <w:spacing w:after="0"/>
              <w:rPr>
                <w:sz w:val="1"/>
                <w:szCs w:val="1"/>
                <w:color w:val="auto"/>
              </w:rPr>
            </w:pPr>
          </w:p>
        </w:tc>
      </w:tr>
      <w:tr>
        <w:trPr>
          <w:trHeight w:val="237"/>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contribution</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3,013,809</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205,612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133,310</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3,360,308</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Cost of services and product development - unallocated</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17,892</w:t>
            </w: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2,237,783</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135,695</w:t>
            </w:r>
          </w:p>
        </w:tc>
        <w:tc>
          <w:tcPr>
            <w:tcW w:w="0" w:type="dxa"/>
            <w:vAlign w:val="bottom"/>
          </w:tcPr>
          <w:p>
            <w:pPr>
              <w:spacing w:after="0"/>
              <w:rPr>
                <w:sz w:val="1"/>
                <w:szCs w:val="1"/>
                <w:color w:val="auto"/>
              </w:rPr>
            </w:pPr>
          </w:p>
        </w:tc>
      </w:tr>
      <w:tr>
        <w:trPr>
          <w:trHeight w:val="243"/>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expenses and other, net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73,007</w:t>
            </w:r>
          </w:p>
        </w:tc>
        <w:tc>
          <w:tcPr>
            <w:tcW w:w="0" w:type="dxa"/>
            <w:vAlign w:val="bottom"/>
          </w:tcPr>
          <w:p>
            <w:pPr>
              <w:spacing w:after="0"/>
              <w:rPr>
                <w:sz w:val="1"/>
                <w:szCs w:val="1"/>
                <w:color w:val="auto"/>
              </w:rPr>
            </w:pPr>
          </w:p>
        </w:tc>
      </w:tr>
      <w:tr>
        <w:trPr>
          <w:trHeight w:val="236"/>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902,716</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(3)</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3,789,798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418,873</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4,744,656</w:t>
            </w:r>
          </w:p>
        </w:tc>
        <w:tc>
          <w:tcPr>
            <w:tcW w:w="0" w:type="dxa"/>
            <w:vAlign w:val="bottom"/>
          </w:tcPr>
          <w:p>
            <w:pPr>
              <w:spacing w:after="0"/>
              <w:rPr>
                <w:sz w:val="1"/>
                <w:szCs w:val="1"/>
                <w:color w:val="auto"/>
              </w:rPr>
            </w:pPr>
          </w:p>
        </w:tc>
      </w:tr>
      <w:tr>
        <w:trPr>
          <w:trHeight w:val="243"/>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expenses</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850,941</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55,015</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246,644</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26,305</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1,178,905</w:t>
            </w:r>
          </w:p>
        </w:tc>
        <w:tc>
          <w:tcPr>
            <w:tcW w:w="0" w:type="dxa"/>
            <w:vAlign w:val="bottom"/>
          </w:tcPr>
          <w:p>
            <w:pPr>
              <w:spacing w:after="0"/>
              <w:rPr>
                <w:sz w:val="1"/>
                <w:szCs w:val="1"/>
                <w:color w:val="auto"/>
              </w:rPr>
            </w:pPr>
          </w:p>
        </w:tc>
      </w:tr>
      <w:tr>
        <w:trPr>
          <w:trHeight w:val="243"/>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and content delivery expenses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19,429</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114,901</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96,886</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242,118</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18,426</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43,792</w:t>
            </w:r>
          </w:p>
        </w:tc>
        <w:tc>
          <w:tcPr>
            <w:tcW w:w="0" w:type="dxa"/>
            <w:vAlign w:val="bottom"/>
          </w:tcPr>
          <w:p>
            <w:pPr>
              <w:spacing w:after="0"/>
              <w:rPr>
                <w:sz w:val="1"/>
                <w:szCs w:val="1"/>
                <w:color w:val="auto"/>
              </w:rPr>
            </w:pPr>
          </w:p>
        </w:tc>
      </w:tr>
      <w:tr>
        <w:trPr>
          <w:trHeight w:val="237"/>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contribution</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2,901,002</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176,082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150,169</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52,588</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3,279,841</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Cost of services and product development - unallocated</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2,269,753</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152,452</w:t>
            </w:r>
          </w:p>
        </w:tc>
        <w:tc>
          <w:tcPr>
            <w:tcW w:w="0" w:type="dxa"/>
            <w:vAlign w:val="bottom"/>
          </w:tcPr>
          <w:p>
            <w:pPr>
              <w:spacing w:after="0"/>
              <w:rPr>
                <w:sz w:val="1"/>
                <w:szCs w:val="1"/>
                <w:color w:val="auto"/>
              </w:rPr>
            </w:pPr>
          </w:p>
        </w:tc>
      </w:tr>
      <w:tr>
        <w:trPr>
          <w:trHeight w:val="243"/>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expenses and other, net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37,189</w:t>
            </w:r>
          </w:p>
        </w:tc>
        <w:tc>
          <w:tcPr>
            <w:tcW w:w="0" w:type="dxa"/>
            <w:vAlign w:val="bottom"/>
          </w:tcPr>
          <w:p>
            <w:pPr>
              <w:spacing w:after="0"/>
              <w:rPr>
                <w:sz w:val="1"/>
                <w:szCs w:val="1"/>
                <w:color w:val="auto"/>
              </w:rPr>
            </w:pPr>
          </w:p>
        </w:tc>
      </w:tr>
      <w:tr>
        <w:trPr>
          <w:trHeight w:val="237"/>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654,283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372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45"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consists primarily of travel and entertainment and workplace expenses.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spacing w:after="0" w:line="1"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the Company's Digital Markets operating segment, which was divested during the three months ended March 31, 2026. See Note 2 — Divestiture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8 — Deb</w:t>
            </w:r>
            <w:r>
              <w:rPr>
                <w:rFonts w:ascii="Times New Roman" w:cs="Times New Roman" w:eastAsia="Times New Roman" w:hAnsi="Times New Roman"/>
                <w:sz w:val="18"/>
                <w:szCs w:val="18"/>
                <w:color w:val="auto"/>
              </w:rPr>
              <w:t>t</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total outstanding borrowings are summarized in the table below (in thousands).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548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7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8100" w:type="dxa"/>
            <w:vAlign w:val="bottom"/>
            <w:gridSpan w:val="3"/>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2024 Credit Agreement - Revolving credit facility</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4.50% Senior Notes due 2028 (“2028 Notes”)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43"/>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3.63% Senior Notes due 2029 (“2029 Notes”)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43"/>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3.75% Senior Notes due 2030 (“2030 Notes”)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43"/>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4.95% Senior Notes due 2031 (“2031 Notes”)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43"/>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5.60% Senior Notes due 2035 (“2035 Notes”)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43"/>
        </w:trPr>
        <w:tc>
          <w:tcPr>
            <w:tcW w:w="810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6"/>
        </w:trPr>
        <w:tc>
          <w:tcPr>
            <w:tcW w:w="810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18"/>
                <w:szCs w:val="18"/>
                <w:color w:val="auto"/>
              </w:rPr>
              <w:t>Principal amount outstanding</w:t>
            </w:r>
            <w:r>
              <w:rPr>
                <w:rFonts w:ascii="Times New Roman" w:cs="Times New Roman" w:eastAsia="Times New Roman" w:hAnsi="Times New Roman"/>
                <w:sz w:val="23"/>
                <w:szCs w:val="23"/>
                <w:color w:val="auto"/>
                <w:vertAlign w:val="superscript"/>
              </w:rPr>
              <w:t>(3)</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3,005,000</w:t>
            </w:r>
          </w:p>
        </w:tc>
      </w:tr>
      <w:tr>
        <w:trPr>
          <w:trHeight w:val="243"/>
        </w:trPr>
        <w:tc>
          <w:tcPr>
            <w:tcW w:w="810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Less: Deferred financing fees and unamortized discounts</w:t>
            </w:r>
            <w:r>
              <w:rPr>
                <w:rFonts w:ascii="Times New Roman" w:cs="Times New Roman" w:eastAsia="Times New Roman" w:hAnsi="Times New Roman"/>
                <w:sz w:val="23"/>
                <w:szCs w:val="23"/>
                <w:color w:val="auto"/>
                <w:vertAlign w:val="superscript"/>
              </w:rPr>
              <w:t>(4)</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(23,326)</w:t>
            </w:r>
          </w:p>
        </w:tc>
      </w:tr>
      <w:tr>
        <w:trPr>
          <w:trHeight w:val="237"/>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balance sheet carrying amount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2,980,601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2,981,674</w:t>
            </w:r>
          </w:p>
        </w:tc>
      </w:tr>
      <w:tr>
        <w:trPr>
          <w:trHeight w:val="20"/>
        </w:trPr>
        <w:tc>
          <w:tcPr>
            <w:tcW w:w="5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5480" w:type="dxa"/>
            <w:vAlign w:val="bottom"/>
            <w:tcBorders>
              <w:bottom w:val="single" w:sz="8" w:color="auto"/>
            </w:tcBorders>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117" w:lineRule="exact"/>
        <w:rPr>
          <w:sz w:val="20"/>
          <w:szCs w:val="20"/>
          <w:color w:val="auto"/>
        </w:rPr>
      </w:pPr>
    </w:p>
    <w:p>
      <w:pPr>
        <w:ind w:left="340" w:right="20" w:hanging="332"/>
        <w:spacing w:after="0" w:line="261"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approximately $1.0 billion of available borrowing capacity on the 2024 Credit Agreement revolver (not including the expansion feature) as of September 30, 2026.</w:t>
      </w:r>
    </w:p>
    <w:p>
      <w:pPr>
        <w:ind w:left="340" w:hanging="332"/>
        <w:spacing w:after="0" w:line="250"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State of Connecticut economic development loan originated in 2019 with a 10-year maturity and bore interest at a fixed rate of 1.75%. The Company repaid the loan in April 2026.</w:t>
      </w:r>
    </w:p>
    <w:p>
      <w:pPr>
        <w:ind w:left="340" w:hanging="332"/>
        <w:spacing w:after="0" w:line="250"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annual effective rate on the Company’s outstanding debt for the three and nine months ended September 30, 2026, was 4.28% and 4.31%, respectively.</w:t>
      </w: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financing fees and unamortized discounts are being amortized to Interest expense, net over the term of the related debt obligation.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Credit Agreement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26, 2024, the Company entered into a Credit Agreement (the “2024 Credit Agreement”) among the Company, as borrower, the lenders party thereto and JPMorgan Chase Bank, N.A., as administrative agent.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2024 Credit Agreement provides for a $1.0 billion senior unsecured five-year revolving facility. The facility may be increased, at the Company’s option and under certain conditions, by up to an additional $750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 The 2024 Credit Agreement contains certain customary restrictive loan covenants, including, among others, a financial covenant requiring a maximum leverage ratio and covenants limiting the Company’s ability to grant liens, make acquisitions, be acquired and the ability of the Company’s subsidiaries to incur indebtedness. The Company was in compliance with all financial covenants as of September 30, 2026.</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under the revolving facility accrues, at a variable rate, based on, at our option, (i) the Term Secured Overnight Funding Rate (“SOFR”) plus a credit spread adjustment of 0.10% or (ii) an alternate base rate (“Base Rate”) plus, in each case, an applicable margin, and is payable monthly. The applicable margin ranges between 1.125% and 1.75%, depending on the lower rate determined by either the Company’s leverage ratio or the credit rating of the Company’s senior unsecured debt. At September 30, 2026, the applicable all-in margin on the revolving facility was 1.48% (including the credit spread adjustment). The contractual annualized interest rate as of September 30, 2026 on the 2024 Credit Agreement was 5.23%, which consisted of SOFR of 3.75% plus a margin of 1.48%. The commitment fee payable on the unused portion of the facility is equal to between 0.125% and 0.25% based on utilization of the facility. The Company has also agreed to pay customary letter of credit fees.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2031 and 2035 Notes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20, 2025, the Company completed the public offering and issuance of $350.0 million aggregate principal amount of its 4.950% Senior Notes due 2031 and $450.0 million aggregate principal amount of its 5.600% Senior Notes due 2035 (together, the “Notes”). The 2031 Notes were issued at an issue price of 99.970% and the 2035 Notes were issued at an issue price of 99.992%. The Notes were offered and sold pursuant to Gartner’s automatic shelf registration statement on Form S-3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(File No. 333-291447) and the prospectus included therein, filed with the Securities and Exchange Commission on November 12, 2025, and supplemented by the prospectus supplement dated November 13, 2025.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received approximately $799.9 million in net proceeds, after discounts and before underwriting fees and offering expenses, from the sale of the Notes. The Company used a portion of the net proceeds from the offering of the Notes to repay the $274.4 million then outstanding under the 2024 Credit Agreement and to pay related fees and expenses, with remaining amounts to be used for general corporate purposes, which may include, without limitation, potential repurchases of its Common Stock.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2021, the Company issued $600.0 million aggregate principal amount of 3.625% Senior Notes due 2029. The 2029 Notes were issued at an issue price of 100.0% and bear interest at a rate of 3.625% per annum. Interest on the 2029 Notes is payable on June 15 and December 15 of each year, beginning on December 15, 2021. The 2029 Notes will mature on June 15, 2029. The Company may redeem some or all of the 2029 Notes at any time on or after June 15, 2024 for cash at the redemption prices set forth in the 2029 Notes Indenture, plus accrued and unpaid interest to, but excluding, the redemption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28, 2020, the Company issued $800.0 million aggregate principal amount of 3.75% Senior Notes due 2030. The 2030 Notes were issued at an issue price of 100.0% and bear interest at a rate of 3.75% per annum. Interest on the 2030 Notes is payable on April 1 and October 1 of each year, beginning on April 1, 2021. The 2030 Notes will mature on October 1, 2030.</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2028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22, 2020, the Company issued $800.0 million aggregate principal amount of 4.50% Senior Notes due 2028. The 2028 Notes were issued at an issue price of 100.0% and bear interest at a rate of 4.50% per annum. Interest on the 2028 Notes is payable on January 1 and July 1 of each year, beginning on January 1, 2021. The 2028 Notes will mature on July 1, 2028.</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redeem some or all of the 2028 Notes at any time on or after July 1, 2023 for cash at the redemption prices set forth in the 2028 Note Indenture, plus accrued and unpaid interest to, but excluding, the redemption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Authorization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2015, the Company’s Board of Directors (the “Board”) authorized a share repurchase program to repurchase up to $1.2 billion of the Company’s Common Stock. The Board authorized incremental share repurchases of up to an aggregate additional $7.4 billion of the Company’s Common Stock from February 2021 to July 2026. As of September 30, 2026, $1.1 billion remained available under the share repurchase program.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Company’s share repurchase activity is presented in the table below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0"/>
                <w:szCs w:val="20"/>
                <w:color w:val="auto"/>
              </w:rPr>
            </w:pPr>
          </w:p>
        </w:tc>
        <w:tc>
          <w:tcPr>
            <w:tcW w:w="24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3"/>
        </w:trPr>
        <w:tc>
          <w:tcPr>
            <w:tcW w:w="5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5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558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Number of shares repurchased</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886,818</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3,955,033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7,827,246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4,915,661</w:t>
            </w:r>
          </w:p>
        </w:tc>
      </w:tr>
      <w:tr>
        <w:trPr>
          <w:trHeight w:val="312"/>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repurchased shares (in thousands)</w:t>
            </w:r>
            <w:r>
              <w:rPr>
                <w:rFonts w:ascii="Times New Roman" w:cs="Times New Roman" w:eastAsia="Times New Roman" w:hAnsi="Times New Roman"/>
                <w:sz w:val="23"/>
                <w:szCs w:val="23"/>
                <w:color w:val="auto"/>
                <w:vertAlign w:val="superscript"/>
              </w:rPr>
              <w:t>(2)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138,223</w:t>
            </w:r>
          </w:p>
        </w:tc>
        <w:tc>
          <w:tcPr>
            <w:tcW w:w="16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1,055,523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1,219,977</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34715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71" w:lineRule="exact"/>
        <w:rPr>
          <w:sz w:val="20"/>
          <w:szCs w:val="20"/>
          <w:color w:val="auto"/>
        </w:rPr>
      </w:pPr>
    </w:p>
    <w:p>
      <w:pPr>
        <w:jc w:val="both"/>
        <w:ind w:left="340" w:hanging="332"/>
        <w:spacing w:after="0" w:line="257"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purchase price for repurchased shares was $143.14 and $265.38 for the three months ended September 30, 2026 and 2025, respectively, and $152.32 and $300.69 for the nine months ended September 30, 2026 and 2025, respectively. The repurchased shares during the three and nine months ended September 30, 2026 and 2025 included purchases for both open market purchases and stock-based compensation award settlements.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paid for repurchased shares during the nine months ended September 30, 2026 included $10.0 million of open market purchases with trade dates in December 2025 that settled in January 2026 and excise tax accrued . The cash paid for repurchased shares during the three months ended September 30, 2026 included $11.3 million of open market purchases with trade dates in June 2026 that settled in July 2026. The cash paid for repurchased shares during the three months ended September 30, 2025 excluded $0.1 million of open market purchases with trade dates in September 2025 that settled in October 2025 and excise tax accrued. The cash paid for repurchased shares during the nine months ended September 30, 2025 included $10.0 million of open market purchases with trade dates in December 2024 that settled in January 2025 and excise tax accrued. The cash paid for repurchased shares during the three months ended September 30, 2025 included $6.0 million of open market purchases with trade dates in June 2025 that settled in July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 net (“AOCL”)</w:t>
      </w:r>
    </w:p>
    <w:p>
      <w:pPr>
        <w:spacing w:after="0" w:line="25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The tables below provide information about the changes in AOCL by component and the related amounts reclassified out of AOCL to income during the periods indicated (net of tax, in thousands)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3"/>
          <w:szCs w:val="23"/>
          <w:color w:val="auto"/>
          <w:vertAlign w:val="subscript"/>
        </w:rPr>
        <w: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6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rPr>
              <w:t>Benefit</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60" w:type="dxa"/>
            <w:vAlign w:val="bottom"/>
          </w:tcPr>
          <w:p>
            <w:pPr>
              <w:spacing w:after="0"/>
              <w:rPr>
                <w:sz w:val="15"/>
                <w:szCs w:val="15"/>
                <w:color w:val="auto"/>
              </w:rPr>
            </w:pPr>
          </w:p>
        </w:tc>
        <w:tc>
          <w:tcPr>
            <w:tcW w:w="9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6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June 30, 2026</w:t>
            </w:r>
          </w:p>
        </w:tc>
        <w:tc>
          <w:tcPr>
            <w:tcW w:w="9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(46,405)</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(52,419)</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43"/>
        </w:trPr>
        <w:tc>
          <w:tcPr>
            <w:tcW w:w="5020" w:type="dxa"/>
            <w:vAlign w:val="bottom"/>
          </w:tcPr>
          <w:p>
            <w:pPr>
              <w:ind w:left="100"/>
              <w:spacing w:after="0" w:line="243" w:lineRule="exact"/>
              <w:rPr>
                <w:sz w:val="20"/>
                <w:szCs w:val="20"/>
                <w:color w:val="auto"/>
              </w:rPr>
            </w:pPr>
            <w:r>
              <w:rPr>
                <w:rFonts w:ascii="Times New Roman" w:cs="Times New Roman" w:eastAsia="Times New Roman" w:hAnsi="Times New Roman"/>
                <w:sz w:val="18"/>
                <w:szCs w:val="18"/>
                <w:color w:val="auto"/>
              </w:rPr>
              <w:t>Reclassifications from AOCL to income</w:t>
            </w:r>
            <w:r>
              <w:rPr>
                <w:rFonts w:ascii="Times New Roman" w:cs="Times New Roman" w:eastAsia="Times New Roman" w:hAnsi="Times New Roman"/>
                <w:sz w:val="23"/>
                <w:szCs w:val="23"/>
                <w:color w:val="auto"/>
                <w:vertAlign w:val="superscript"/>
              </w:rPr>
              <w:t>(2)(3)</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9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September 30, 2026</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0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0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60" w:type="dxa"/>
            <w:vAlign w:val="bottom"/>
          </w:tcPr>
          <w:p>
            <w:pPr>
              <w:spacing w:after="0"/>
              <w:rPr>
                <w:sz w:val="16"/>
                <w:szCs w:val="16"/>
                <w:color w:val="auto"/>
              </w:rPr>
            </w:pPr>
          </w:p>
        </w:tc>
        <w:tc>
          <w:tcPr>
            <w:tcW w:w="9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100" w:type="dxa"/>
            <w:vAlign w:val="bottom"/>
            <w:tcBorders>
              <w:bottom w:val="single" w:sz="8" w:color="CCEEFF"/>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June 30, 2025</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(46,615)</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0" w:type="dxa"/>
            <w:vAlign w:val="bottom"/>
          </w:tcPr>
          <w:p>
            <w:pPr>
              <w:spacing w:after="0"/>
              <w:rPr>
                <w:sz w:val="1"/>
                <w:szCs w:val="1"/>
                <w:color w:val="auto"/>
              </w:rPr>
            </w:pPr>
          </w:p>
        </w:tc>
      </w:tr>
      <w:tr>
        <w:trPr>
          <w:trHeight w:val="243"/>
        </w:trPr>
        <w:tc>
          <w:tcPr>
            <w:tcW w:w="5020" w:type="dxa"/>
            <w:vAlign w:val="bottom"/>
          </w:tcPr>
          <w:p>
            <w:pPr>
              <w:ind w:left="100"/>
              <w:spacing w:after="0" w:line="243" w:lineRule="exact"/>
              <w:rPr>
                <w:sz w:val="20"/>
                <w:szCs w:val="20"/>
                <w:color w:val="auto"/>
              </w:rPr>
            </w:pPr>
            <w:r>
              <w:rPr>
                <w:rFonts w:ascii="Times New Roman" w:cs="Times New Roman" w:eastAsia="Times New Roman" w:hAnsi="Times New Roman"/>
                <w:sz w:val="18"/>
                <w:szCs w:val="18"/>
                <w:color w:val="auto"/>
              </w:rPr>
              <w:t>Reclassifications from AOCL to income</w:t>
            </w:r>
            <w:r>
              <w:rPr>
                <w:rFonts w:ascii="Times New Roman" w:cs="Times New Roman" w:eastAsia="Times New Roman" w:hAnsi="Times New Roman"/>
                <w:sz w:val="23"/>
                <w:szCs w:val="23"/>
                <w:color w:val="auto"/>
                <w:vertAlign w:val="superscript"/>
              </w:rPr>
              <w:t>(2)(4)</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3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9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0" w:type="dxa"/>
            <w:vAlign w:val="bottom"/>
          </w:tcPr>
          <w:p>
            <w:pPr>
              <w:spacing w:after="0"/>
              <w:rPr>
                <w:sz w:val="1"/>
                <w:szCs w:val="1"/>
                <w:color w:val="auto"/>
              </w:rPr>
            </w:pPr>
          </w:p>
        </w:tc>
      </w:tr>
      <w:tr>
        <w:trPr>
          <w:trHeight w:val="23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September 30, 2025</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0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rPr>
              <w:t>Benefit</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40" w:type="dxa"/>
            <w:vAlign w:val="bottom"/>
          </w:tcPr>
          <w:p>
            <w:pPr>
              <w:spacing w:after="0"/>
              <w:rPr>
                <w:sz w:val="16"/>
                <w:szCs w:val="16"/>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6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2025</w:t>
            </w:r>
          </w:p>
        </w:tc>
        <w:tc>
          <w:tcPr>
            <w:tcW w:w="8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(35,071)</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(41,015)</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tcPr>
          <w:p>
            <w:pPr>
              <w:ind w:left="100"/>
              <w:spacing w:after="0" w:line="243" w:lineRule="exact"/>
              <w:rPr>
                <w:sz w:val="20"/>
                <w:szCs w:val="20"/>
                <w:color w:val="auto"/>
              </w:rPr>
            </w:pPr>
            <w:r>
              <w:rPr>
                <w:rFonts w:ascii="Times New Roman" w:cs="Times New Roman" w:eastAsia="Times New Roman" w:hAnsi="Times New Roman"/>
                <w:sz w:val="18"/>
                <w:szCs w:val="18"/>
                <w:color w:val="auto"/>
              </w:rPr>
              <w:t>Reclassifications from AOCL to income</w:t>
            </w:r>
            <w:r>
              <w:rPr>
                <w:rFonts w:ascii="Times New Roman" w:cs="Times New Roman" w:eastAsia="Times New Roman" w:hAnsi="Times New Roman"/>
                <w:sz w:val="23"/>
                <w:szCs w:val="23"/>
                <w:color w:val="auto"/>
                <w:vertAlign w:val="superscript"/>
              </w:rPr>
              <w:t>(2)(3)</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September 30, 2026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4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2024</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(9,800)</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42,138</w:t>
            </w:r>
          </w:p>
        </w:tc>
        <w:tc>
          <w:tcPr>
            <w:tcW w:w="0" w:type="dxa"/>
            <w:vAlign w:val="bottom"/>
          </w:tcPr>
          <w:p>
            <w:pPr>
              <w:spacing w:after="0"/>
              <w:rPr>
                <w:sz w:val="1"/>
                <w:szCs w:val="1"/>
                <w:color w:val="auto"/>
              </w:rPr>
            </w:pPr>
          </w:p>
        </w:tc>
      </w:tr>
      <w:tr>
        <w:trPr>
          <w:trHeight w:val="243"/>
        </w:trPr>
        <w:tc>
          <w:tcPr>
            <w:tcW w:w="5940" w:type="dxa"/>
            <w:vAlign w:val="bottom"/>
          </w:tcPr>
          <w:p>
            <w:pPr>
              <w:ind w:left="100"/>
              <w:spacing w:after="0" w:line="243" w:lineRule="exact"/>
              <w:rPr>
                <w:sz w:val="20"/>
                <w:szCs w:val="20"/>
                <w:color w:val="auto"/>
              </w:rPr>
            </w:pPr>
            <w:r>
              <w:rPr>
                <w:rFonts w:ascii="Times New Roman" w:cs="Times New Roman" w:eastAsia="Times New Roman" w:hAnsi="Times New Roman"/>
                <w:sz w:val="18"/>
                <w:szCs w:val="18"/>
                <w:color w:val="auto"/>
              </w:rPr>
              <w:t>Reclassifications from AOCL to income</w:t>
            </w:r>
            <w:r>
              <w:rPr>
                <w:rFonts w:ascii="Times New Roman" w:cs="Times New Roman" w:eastAsia="Times New Roman" w:hAnsi="Times New Roman"/>
                <w:sz w:val="23"/>
                <w:szCs w:val="23"/>
                <w:color w:val="auto"/>
                <w:vertAlign w:val="superscript"/>
              </w:rPr>
              <w:t>(2)(4)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0" w:type="dxa"/>
            <w:vAlign w:val="bottom"/>
          </w:tcPr>
          <w:p>
            <w:pPr>
              <w:spacing w:after="0"/>
              <w:rPr>
                <w:sz w:val="1"/>
                <w:szCs w:val="1"/>
                <w:color w:val="auto"/>
              </w:rPr>
            </w:pPr>
          </w:p>
        </w:tc>
      </w:tr>
      <w:tr>
        <w:trPr>
          <w:trHeight w:val="236"/>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9,800</w:t>
            </w: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42,138</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52,088</w:t>
            </w: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September 30, 2025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(36,245)</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parentheses represent debits (deferred losses).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reclassifications related to defined benefit pension plans were recorded in Other (expense) income, net.</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related to foreign currency translation adjustments was recorded to Gain from sale of divested operation.</w:t>
      </w:r>
    </w:p>
    <w:p>
      <w:pPr>
        <w:spacing w:after="0" w:line="63"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million and $13.2 million of the reclassifications related to interest rate swaps (cash flow hedges) were recorded in Interest expense, net, for the three and nine months ended September 30, 2025, respectively. The swap contract matured in September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provision for income taxes was $41.3 million and $34.1 million for the three months ended September 30, 2026 and 2025, respectively. The effective income tax rate was 16.1% and 49.1% for the three months ended September 30, 2026, and 2025, respectively. The decrease in the effective income tax rate in the current period was primarily attributable to a favorable release of reserves upon the resolution of the related inquiries, as well as the 2025 impact of the goodwill impairment, which was not deductible for tax purposes.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$190.5 million and $167.2 million for the nine months ended September 30, 2026 and 2025, respectively. The effective income tax rate was 21.1% and 25.6% for the nine months ended September 30, 2026 and 2025, respectively. The decrease in the effective income tax rate in the current period was primarily due to the same factors that caused the year-over-year quarterly decrease.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gross unrecognized tax benefits of $293.2 million on September 30, 2026 and $301.6 million on December 31, 2025.</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Recent legislative developments in the U.S. and internationally have introduced significant changes to tax frameworks, including modifications impacting business provisions, international taxation, and global minimum tax requirements. These changes have various effective dates, with some provisions already in effect and others to be implemented over the coming years. While these evolving legislative measures have not had a material impact on the Company’s consolidated financial results in the current period, the Company is actively monitoring and assessing their potential effects. The Company will continue to evaluate and reflect the impact of these legislative changes in its future financial statements as appropriate.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11 — Derivatives and Hedging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2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175"/>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00" w:type="dxa"/>
            <w:vAlign w:val="bottom"/>
            <w:vMerge w:val="restart"/>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2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Sheet</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440" w:type="dxa"/>
            <w:vAlign w:val="bottom"/>
            <w:tcBorders>
              <w:bottom w:val="single" w:sz="8" w:color="auto"/>
            </w:tcBorders>
            <w:gridSpan w:val="2"/>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7"/>
              </w:rPr>
              <w:t>(Liability), Net</w:t>
            </w:r>
            <w:r>
              <w:rPr>
                <w:rFonts w:ascii="Times New Roman" w:cs="Times New Roman" w:eastAsia="Times New Roman" w:hAnsi="Times New Roman"/>
                <w:sz w:val="23"/>
                <w:szCs w:val="23"/>
                <w:b w:val="1"/>
                <w:bCs w:val="1"/>
                <w:color w:val="auto"/>
                <w:w w:val="97"/>
                <w:vertAlign w:val="superscript"/>
              </w:rPr>
              <w:t>(2)</w:t>
            </w:r>
          </w:p>
        </w:tc>
        <w:tc>
          <w:tcPr>
            <w:tcW w:w="100" w:type="dxa"/>
            <w:vAlign w:val="bottom"/>
            <w:tcBorders>
              <w:bottom w:val="single" w:sz="8" w:color="CCEEFF"/>
            </w:tcBorders>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0" w:type="dxa"/>
            <w:vAlign w:val="bottom"/>
          </w:tcPr>
          <w:p>
            <w:pPr>
              <w:spacing w:after="0"/>
              <w:rPr>
                <w:sz w:val="1"/>
                <w:szCs w:val="1"/>
                <w:color w:val="auto"/>
              </w:rPr>
            </w:pPr>
          </w:p>
        </w:tc>
      </w:tr>
      <w:tr>
        <w:trPr>
          <w:trHeight w:val="183"/>
        </w:trPr>
        <w:tc>
          <w:tcPr>
            <w:tcW w:w="3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forwards</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Other current assets/</w:t>
            </w:r>
          </w:p>
        </w:tc>
        <w:tc>
          <w:tcPr>
            <w:tcW w:w="0" w:type="dxa"/>
            <w:vAlign w:val="bottom"/>
          </w:tcPr>
          <w:p>
            <w:pPr>
              <w:spacing w:after="0"/>
              <w:rPr>
                <w:sz w:val="1"/>
                <w:szCs w:val="1"/>
                <w:color w:val="auto"/>
              </w:rPr>
            </w:pPr>
          </w:p>
        </w:tc>
      </w:tr>
      <w:tr>
        <w:trPr>
          <w:trHeight w:val="243"/>
        </w:trPr>
        <w:tc>
          <w:tcPr>
            <w:tcW w:w="3960" w:type="dxa"/>
            <w:vAlign w:val="bottom"/>
            <w:gridSpan w:val="2"/>
            <w:vMerge w:val="continue"/>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60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2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176"/>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00" w:type="dxa"/>
            <w:vAlign w:val="bottom"/>
            <w:vMerge w:val="restart"/>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2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Sheet</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gridSpan w:val="2"/>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7"/>
              </w:rPr>
              <w:t>(Liability), Net</w:t>
            </w:r>
            <w:r>
              <w:rPr>
                <w:rFonts w:ascii="Times New Roman" w:cs="Times New Roman" w:eastAsia="Times New Roman" w:hAnsi="Times New Roman"/>
                <w:sz w:val="23"/>
                <w:szCs w:val="23"/>
                <w:b w:val="1"/>
                <w:bCs w:val="1"/>
                <w:color w:val="auto"/>
                <w:w w:val="97"/>
                <w:vertAlign w:val="superscript"/>
              </w:rPr>
              <w:t>(2)</w:t>
            </w:r>
          </w:p>
        </w:tc>
        <w:tc>
          <w:tcPr>
            <w:tcW w:w="100" w:type="dxa"/>
            <w:vAlign w:val="bottom"/>
            <w:tcBorders>
              <w:bottom w:val="single" w:sz="8" w:color="CCEEFF"/>
            </w:tcBorders>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0" w:type="dxa"/>
            <w:vAlign w:val="bottom"/>
          </w:tcPr>
          <w:p>
            <w:pPr>
              <w:spacing w:after="0"/>
              <w:rPr>
                <w:sz w:val="1"/>
                <w:szCs w:val="1"/>
                <w:color w:val="auto"/>
              </w:rPr>
            </w:pPr>
          </w:p>
        </w:tc>
      </w:tr>
      <w:tr>
        <w:trPr>
          <w:trHeight w:val="183"/>
        </w:trPr>
        <w:tc>
          <w:tcPr>
            <w:tcW w:w="3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forwards</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Other current assets/</w:t>
            </w:r>
          </w:p>
        </w:tc>
        <w:tc>
          <w:tcPr>
            <w:tcW w:w="0" w:type="dxa"/>
            <w:vAlign w:val="bottom"/>
          </w:tcPr>
          <w:p>
            <w:pPr>
              <w:spacing w:after="0"/>
              <w:rPr>
                <w:sz w:val="1"/>
                <w:szCs w:val="1"/>
                <w:color w:val="auto"/>
              </w:rPr>
            </w:pPr>
          </w:p>
        </w:tc>
      </w:tr>
      <w:tr>
        <w:trPr>
          <w:trHeight w:val="243"/>
        </w:trPr>
        <w:tc>
          <w:tcPr>
            <w:tcW w:w="3960" w:type="dxa"/>
            <w:vAlign w:val="bottom"/>
            <w:gridSpan w:val="2"/>
            <w:vMerge w:val="continue"/>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4715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26" w:lineRule="exact"/>
        <w:rPr>
          <w:sz w:val="20"/>
          <w:szCs w:val="20"/>
          <w:color w:val="auto"/>
        </w:rPr>
      </w:pPr>
    </w:p>
    <w:p>
      <w:pPr>
        <w:jc w:val="both"/>
        <w:ind w:left="340" w:hanging="332"/>
        <w:spacing w:after="0" w:line="256"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(expense) income, net because the Company does not designate these contracts as hedges for accounting purposes. All of the outstanding foreign currency forward exchange contracts at September 30, 2026 matured before October 31, 2026.</w:t>
      </w:r>
    </w:p>
    <w:p>
      <w:pPr>
        <w:spacing w:after="0" w:line="21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Note 12 — Fair Value Disclosures</w:t>
      </w:r>
      <w:r>
        <w:rPr>
          <w:rFonts w:ascii="Times New Roman" w:cs="Times New Roman" w:eastAsia="Times New Roman" w:hAnsi="Times New Roman"/>
          <w:sz w:val="18"/>
          <w:szCs w:val="18"/>
          <w:color w:val="auto"/>
        </w:rPr>
        <w:t xml:space="preserve"> for the determination of the fair values of these instruments.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2026,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accompanying Condensed Consolidated Statements of Operations for derivative contracts for the periods indicated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0"/>
                <w:szCs w:val="20"/>
                <w:color w:val="auto"/>
              </w:rPr>
            </w:pPr>
          </w:p>
        </w:tc>
        <w:tc>
          <w:tcPr>
            <w:tcW w:w="24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3"/>
        </w:trPr>
        <w:tc>
          <w:tcPr>
            <w:tcW w:w="5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5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 recorded in:</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5620" w:type="dxa"/>
            <w:vAlign w:val="bottom"/>
            <w:gridSpan w:val="3"/>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w:t>
            </w:r>
          </w:p>
        </w:tc>
      </w:tr>
      <w:tr>
        <w:trPr>
          <w:trHeight w:val="243"/>
        </w:trPr>
        <w:tc>
          <w:tcPr>
            <w:tcW w:w="5620" w:type="dxa"/>
            <w:vAlign w:val="bottom"/>
            <w:tcBorders>
              <w:bottom w:val="single" w:sz="8" w:color="CCEEFF"/>
            </w:tcBorders>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expense (income), net</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6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62"/>
        </w:trPr>
        <w:tc>
          <w:tcPr>
            <w:tcW w:w="56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63"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expense from interest rate swap contracts.</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net realized and unrealized gains and losses on foreign currency forward contracts and in 2025 also included a gain on a de-designated interest rate swap.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Fair Value Disclosures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2024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Company’s Condensed Consolidated Balance Sheets.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3 — Goodwill and Intangible Assets. The Company does not typically transfer assets or liabilities between different levels of the valuation hierarchy.</w:t>
      </w:r>
    </w:p>
    <w:p>
      <w:pPr>
        <w:spacing w:after="0" w:line="2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table below presents the fair values of certain financial assets and liabilities that are measured at fair value on a recurring basis in the Company's financial statements (in thousands).</w:t>
      </w:r>
    </w:p>
    <w:tbl>
      <w:tblPr>
        <w:tblLayout w:type="fixed"/>
        <w:tblInd w:w="0" w:type="dxa"/>
        <w:tblCellMar>
          <w:top w:w="0" w:type="dxa"/>
          <w:left w:w="0" w:type="dxa"/>
          <w:bottom w:w="0" w:type="dxa"/>
          <w:right w:w="0" w:type="dxa"/>
        </w:tblCellMar>
      </w:tblPr>
      <w:tr>
        <w:trPr>
          <w:trHeight w:val="185"/>
        </w:trPr>
        <w:tc>
          <w:tcPr>
            <w:tcW w:w="7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80"/>
              <w:spacing w:after="0" w:line="185"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6"/>
                <w:szCs w:val="16"/>
                <w:color w:val="auto"/>
              </w:rPr>
            </w:pPr>
          </w:p>
        </w:tc>
        <w:tc>
          <w:tcPr>
            <w:tcW w:w="1420" w:type="dxa"/>
            <w:vAlign w:val="bottom"/>
          </w:tcPr>
          <w:p>
            <w:pPr>
              <w:jc w:val="right"/>
              <w:ind w:right="190"/>
              <w:spacing w:after="0" w:line="18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6"/>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1 inputs:</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80" w:type="dxa"/>
            <w:vAlign w:val="bottom"/>
            <w:gridSpan w:val="3"/>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Deferred compensation plan assets</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19,188</w:t>
            </w:r>
          </w:p>
        </w:tc>
        <w:tc>
          <w:tcPr>
            <w:tcW w:w="0" w:type="dxa"/>
            <w:vAlign w:val="bottom"/>
          </w:tcPr>
          <w:p>
            <w:pPr>
              <w:spacing w:after="0"/>
              <w:rPr>
                <w:sz w:val="1"/>
                <w:szCs w:val="1"/>
                <w:color w:val="auto"/>
              </w:rPr>
            </w:pPr>
          </w:p>
        </w:tc>
      </w:tr>
      <w:tr>
        <w:trPr>
          <w:trHeight w:val="236"/>
        </w:trPr>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Level 1 inputs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19,188</w:t>
            </w:r>
          </w:p>
        </w:tc>
        <w:tc>
          <w:tcPr>
            <w:tcW w:w="0" w:type="dxa"/>
            <w:vAlign w:val="bottom"/>
          </w:tcPr>
          <w:p>
            <w:pPr>
              <w:spacing w:after="0"/>
              <w:rPr>
                <w:sz w:val="1"/>
                <w:szCs w:val="1"/>
                <w:color w:val="auto"/>
              </w:rPr>
            </w:pPr>
          </w:p>
        </w:tc>
      </w:tr>
      <w:tr>
        <w:trPr>
          <w:trHeight w:val="243"/>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8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18"/>
                <w:szCs w:val="18"/>
                <w:color w:val="auto"/>
              </w:rPr>
              <w:t>Deferred compensation plan assets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155,949</w:t>
            </w:r>
          </w:p>
        </w:tc>
        <w:tc>
          <w:tcPr>
            <w:tcW w:w="0" w:type="dxa"/>
            <w:vAlign w:val="bottom"/>
          </w:tcPr>
          <w:p>
            <w:pPr>
              <w:spacing w:after="0"/>
              <w:rPr>
                <w:sz w:val="1"/>
                <w:szCs w:val="1"/>
                <w:color w:val="auto"/>
              </w:rPr>
            </w:pPr>
          </w:p>
        </w:tc>
      </w:tr>
      <w:tr>
        <w:trPr>
          <w:trHeight w:val="243"/>
        </w:trPr>
        <w:tc>
          <w:tcPr>
            <w:tcW w:w="7880" w:type="dxa"/>
            <w:vAlign w:val="bottom"/>
            <w:gridSpan w:val="3"/>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36"/>
        </w:trPr>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Level 2 inputs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166,984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157,118</w:t>
            </w:r>
          </w:p>
        </w:tc>
        <w:tc>
          <w:tcPr>
            <w:tcW w:w="0" w:type="dxa"/>
            <w:vAlign w:val="bottom"/>
          </w:tcPr>
          <w:p>
            <w:pPr>
              <w:spacing w:after="0"/>
              <w:rPr>
                <w:sz w:val="1"/>
                <w:szCs w:val="1"/>
                <w:color w:val="auto"/>
              </w:rPr>
            </w:pPr>
          </w:p>
        </w:tc>
      </w:tr>
      <w:tr>
        <w:trPr>
          <w:trHeight w:val="262"/>
        </w:trPr>
        <w:tc>
          <w:tcPr>
            <w:tcW w:w="7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176,306</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8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18"/>
                <w:szCs w:val="18"/>
                <w:color w:val="auto"/>
              </w:rPr>
              <w:t>Deferred compensation plan liabilities</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192,857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178,331</w:t>
            </w:r>
          </w:p>
        </w:tc>
        <w:tc>
          <w:tcPr>
            <w:tcW w:w="0" w:type="dxa"/>
            <w:vAlign w:val="bottom"/>
          </w:tcPr>
          <w:p>
            <w:pPr>
              <w:spacing w:after="0"/>
              <w:rPr>
                <w:sz w:val="1"/>
                <w:szCs w:val="1"/>
                <w:color w:val="auto"/>
              </w:rPr>
            </w:pPr>
          </w:p>
        </w:tc>
      </w:tr>
      <w:tr>
        <w:trPr>
          <w:trHeight w:val="243"/>
        </w:trPr>
        <w:tc>
          <w:tcPr>
            <w:tcW w:w="7880" w:type="dxa"/>
            <w:vAlign w:val="bottom"/>
            <w:gridSpan w:val="3"/>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Level 2 inputs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179,270</w:t>
            </w:r>
          </w:p>
        </w:tc>
        <w:tc>
          <w:tcPr>
            <w:tcW w:w="0" w:type="dxa"/>
            <w:vAlign w:val="bottom"/>
          </w:tcPr>
          <w:p>
            <w:pPr>
              <w:spacing w:after="0"/>
              <w:rPr>
                <w:sz w:val="1"/>
                <w:szCs w:val="1"/>
                <w:color w:val="auto"/>
              </w:rPr>
            </w:pPr>
          </w:p>
        </w:tc>
      </w:tr>
      <w:tr>
        <w:trPr>
          <w:trHeight w:val="261"/>
        </w:trPr>
        <w:tc>
          <w:tcPr>
            <w:tcW w:w="7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480" w:type="dxa"/>
            <w:vAlign w:val="bottom"/>
            <w:tcBorders>
              <w:bottom w:val="single" w:sz="8" w:color="auto"/>
            </w:tcBorders>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hanging="332"/>
        <w:spacing w:after="0" w:line="255"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deferred compensation plan for the benefit of certain highly compensated officers, managers and other key employees. The assets consist of investments in money market funds, mutual funds and company-owned life insurance contracts, which are valued based on Level 1 or Level 2 inputs. The related deferred compensation plan liabilities are recorded at fair value, or the estimated amount needed to settle the liability, which the Company considers to be a Level 2 input.</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foreign currency forward exchange contracts to hedge the effects of adverse fluctuations in foreign currency exchange rates (see Note 11 — Derivatives and Hedging). Valuation of these contracts is based on observable foreign currency exchange rates in active markets, which the Company considers to be a Level 2 input.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carrying amounts (net of deferred financing costs) and fair values of financial instruments that are not recorded at fair value in the Company’s Condensed Consolidated Balance Sheets (in thousands). The estimated fair value of the financial instruments was derived from quoted market prices provided by an independent dealer, which the Company considers to be a Level 2 input.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7"/>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797,552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798,080</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578,760</w:t>
            </w:r>
          </w:p>
        </w:tc>
      </w:tr>
      <w:tr>
        <w:trPr>
          <w:trHeight w:val="24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759,224</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2031 Notes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351,869</w:t>
            </w:r>
          </w:p>
        </w:tc>
      </w:tr>
      <w:tr>
        <w:trPr>
          <w:trHeight w:val="24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2035 Notes</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445,411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407,102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450,657</w:t>
            </w:r>
          </w:p>
        </w:tc>
      </w:tr>
      <w:tr>
        <w:trPr>
          <w:trHeight w:val="23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2,983,264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2,980,140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2,801,290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2,938,590</w:t>
            </w: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ote 13 — Contingencies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The Company is involved in legal proceedings, claims and compliance matters arising in the ordinary course of business.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records a provision in its consolidated financial statements when it is determined that an unfavorable outcome in one of these matters is probable and the amount of the loss can be reasonably estimated. The Company believes that the potential liability, if any, in excess of amounts already accrued for these contingencies will not have a material effect on its financial position, cash flows or results of operations when resolved in a future period.</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Indemnifications. </w:t>
      </w:r>
      <w:r>
        <w:rPr>
          <w:rFonts w:ascii="Times New Roman" w:cs="Times New Roman" w:eastAsia="Times New Roman" w:hAnsi="Times New Roman"/>
          <w:sz w:val="18"/>
          <w:szCs w:val="18"/>
          <w:color w:val="auto"/>
        </w:rPr>
        <w:t>The Company has various agreements that may obligate it to indemnify the other party with respect to certain matters. Generally,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 these agreements have not been material. As of September 30, 2026, the Company did not have any material payment obligations under any such indemnification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leasing activities are primarily for facilities under cancelable and non-cancelable lease agreements expiring during 2026 and through 2038. These facilities support our executive and administrative activities, sales, systems support, operations, and other functions. The Company also has leases for office equipment and other assets, which are not significant. Certain of these lease agreements include (i) renewal options to extend the lease term for up to fifteen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subleases certain office space that it does not intend to occupy. Such sublease arrangements expire during 2027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Company’s leasing and subleasing activity is recognized in Selling, general and administrative expense in the accompanying Condensed Consolidated Statements of Operations. The table below presents the Company’s net lease cost and certain other information related to the Company’s leasing activities as of and for the periods indicated (dollars in thousands).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0"/>
                <w:szCs w:val="20"/>
                <w:color w:val="auto"/>
              </w:rPr>
            </w:pPr>
          </w:p>
        </w:tc>
        <w:tc>
          <w:tcPr>
            <w:tcW w:w="242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3"/>
        </w:trPr>
        <w:tc>
          <w:tcPr>
            <w:tcW w:w="5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6"/>
        </w:trPr>
        <w:tc>
          <w:tcPr>
            <w:tcW w:w="5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5720" w:type="dxa"/>
            <w:vAlign w:val="bottom"/>
            <w:gridSpan w:val="3"/>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59,615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6"/>
              </w:rPr>
              <w:t>68,139</w:t>
            </w:r>
          </w:p>
        </w:tc>
      </w:tr>
      <w:tr>
        <w:trPr>
          <w:trHeight w:val="243"/>
        </w:trPr>
        <w:tc>
          <w:tcPr>
            <w:tcW w:w="57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Lease cost</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13,951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14,522</w:t>
            </w:r>
          </w:p>
        </w:tc>
      </w:tr>
      <w:tr>
        <w:trPr>
          <w:trHeight w:val="243"/>
        </w:trPr>
        <w:tc>
          <w:tcPr>
            <w:tcW w:w="5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7"/>
              </w:rPr>
              <w:t>(33,298)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(33,847)</w:t>
            </w:r>
          </w:p>
        </w:tc>
      </w:tr>
      <w:tr>
        <w:trPr>
          <w:trHeight w:val="237"/>
        </w:trPr>
        <w:tc>
          <w:tcPr>
            <w:tcW w:w="572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18"/>
                <w:szCs w:val="18"/>
                <w:color w:val="auto"/>
              </w:rPr>
              <w:t>Total lease cost, net</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40,268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6"/>
              </w:rPr>
              <w:t>48,814</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6"/>
        </w:trPr>
        <w:tc>
          <w:tcPr>
            <w:tcW w:w="5720" w:type="dxa"/>
            <w:vAlign w:val="bottom"/>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43"/>
        </w:trPr>
        <w:tc>
          <w:tcPr>
            <w:tcW w:w="5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83,184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6"/>
              </w:rPr>
              <w:t>94,273</w:t>
            </w:r>
          </w:p>
        </w:tc>
      </w:tr>
      <w:tr>
        <w:trPr>
          <w:trHeight w:val="243"/>
        </w:trPr>
        <w:tc>
          <w:tcPr>
            <w:tcW w:w="5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receipts from sublease arrangements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34,498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33,442</w:t>
            </w:r>
          </w:p>
        </w:tc>
      </w:tr>
      <w:tr>
        <w:trPr>
          <w:trHeight w:val="243"/>
        </w:trPr>
        <w:tc>
          <w:tcPr>
            <w:tcW w:w="5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33,902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6"/>
              </w:rPr>
              <w:t>20,860</w:t>
            </w:r>
          </w:p>
        </w:tc>
      </w:tr>
      <w:tr>
        <w:trPr>
          <w:trHeight w:val="156"/>
        </w:trPr>
        <w:tc>
          <w:tcPr>
            <w:tcW w:w="5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63" w:lineRule="exact"/>
        <w:rPr>
          <w:sz w:val="20"/>
          <w:szCs w:val="20"/>
          <w:color w:val="auto"/>
        </w:rPr>
      </w:pPr>
    </w:p>
    <w:p>
      <w:pPr>
        <w:ind w:left="340" w:hanging="332"/>
        <w:spacing w:after="0" w:line="261"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operating lease cost was $8.0 million and $8.4 million for the three months ended September 30, 2026 and 2025, respectively, and $24.0 million and $25.3 million for the nine months ended September 30, 2026 and 2025, respectively, for costs related to subleasing activities.</w:t>
      </w:r>
    </w:p>
    <w:p>
      <w:pPr>
        <w:ind w:left="340" w:hanging="332"/>
        <w:spacing w:after="0" w:line="250"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primarily variable lease and non-lease costs that are not fixed at the lease commencement date or are dependent on something other than an index or a rate.</w:t>
      </w: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capitalize any operating lease costs during any of the periods presented.</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indicates where the discounted operating lease payments from the above table are classified in the accompanying Condensed Consolidated Balance Sheets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96,076</w:t>
            </w:r>
          </w:p>
        </w:tc>
      </w:tr>
      <w:tr>
        <w:trPr>
          <w:trHeight w:val="243"/>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235,637</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270,200</w:t>
            </w:r>
          </w:p>
        </w:tc>
      </w:tr>
      <w:tr>
        <w:trPr>
          <w:trHeight w:val="261"/>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included in the Condensed Consolidated Balance Sheets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332,860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366,276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this Management’s Discussion and Analysis (“MD&amp;A”) is to facilitate an understanding of significant factors influencing the quarterly operating results, financial condition and cash flows of Gartner, Inc. Additionally, the MD&amp;A conveys our expectations of the potential impact of known trends, events or uncertainties that may impact future results. You should read this discussion in conjunction with our Condensed Consolidated Financial Statements and related notes included in this Quarterly Report on Form 10-Q and our Annual Report on Form 10-K for the year ended December 31, 2025 (the “2025 Form 10-K”). Historical results and percentage relationships are not necessarily indicative of operating results for future periods. References to “Gartner,” the “Company,” “we,” “our” and “us” in this MD&amp;A are to Gartner, Inc. and its consolidated subsidiaries.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our ability to maintain and expand our products and services; our ability to keep pace with technological and industry developments in artificial intelligence (“AI”) and comply with evolving AI regulations; our ability to achieve continued customer renewals and achieve new contract value, backlog and deferred revenue growth in light of competitive pressures; our ability to grow or sustain revenue from individual customers; our ability to expand or retain our customer base; our ability to carry out our strategic initiatives and manage associated costs; the timing of conferences and meetings, in particular our Gartner Symposium/Xpo series; our ability to achieve and effectively manage growth, including our ability to integrate our acquisitions and consummate and integrate future acquisitions; our ability to attract and retain a professional staff of analysts and consultants as well as experienced sales personnel upon whom we are dependent, especially in light of labor competition; our ability to successfully compete with existing competitors and potential new competitors; our ability to enforce and protect our intellectual property rights; the impact of cybersecurity incidents or other disruptions to our information systems; our ability to pay our debt obligations; the impact of global economic and geopolitical conditions, including inflation (and related monetary policy by governments in response to inflation) and recession; uncertain effects, both direct and indirect, of changes and volatility in tariffs and trade policies; risks associated with the creditworthiness, budget cuts, priorities and shutdown of governments and agencies; additional risks associated with international operations, including foreign currency fluctuations; the impact on our business resulting from changes in international conditions, including those resulting from tensions in the Middle East, the war in Ukraine and current and future sanctions imposed by governments or other authorities; the impact of restructuring and other charges on our businesses and operations; our ability to meet sustainability commitments and comply with applicable regulatory requirements, as well as potential reactions by customers to these commitments; the impact of changes in tax policy (including global minimum tax legislation)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the 2025 Form 10-K, which is incorporated herein by reference.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the 2025 Form 10-K. Readers should not place undue reliance on these forward-looking statements, which reflect management’s opinion only as of the date on which they were made. Forward-looking statements in this Quarterly Report on Form 10-Q speak only as of the date hereof, and forward-looking statements in documents attached that are incorporated by reference speak only as of the date of those documents. Except as required by law, we disclaim any obligation to revise or update these forward-looking statements to reflect events or circumstances as they occur.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Gartner, Inc. (NYSE: IT) delivers actionable, objective business and technology insights that drive smarter decisions and stronger performance on an organization’s mission-critical priorities.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deliver our products and services globally through three reportable segments – Business and Technology Insights (“Insights”), Conferences and Consulting, as described below.</w:t>
      </w:r>
    </w:p>
    <w:p>
      <w:pPr>
        <w:spacing w:after="0" w:line="185" w:lineRule="exact"/>
        <w:rPr>
          <w:sz w:val="20"/>
          <w:szCs w:val="20"/>
          <w:color w:val="auto"/>
        </w:rPr>
      </w:pPr>
    </w:p>
    <w:p>
      <w:pPr>
        <w:jc w:val="both"/>
        <w:ind w:left="340" w:hanging="332"/>
        <w:spacing w:after="0" w:line="268"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Insights </w:t>
      </w:r>
      <w:r>
        <w:rPr>
          <w:rFonts w:ascii="Times New Roman" w:cs="Times New Roman" w:eastAsia="Times New Roman" w:hAnsi="Times New Roman"/>
          <w:sz w:val="18"/>
          <w:szCs w:val="18"/>
          <w:color w:val="auto"/>
        </w:rPr>
        <w:t>equips executives and their teams from every function and across all industries with actionable, objective business and technology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and tools. Our experienced experts deliver all this value informed by an unmatched combination of practitioner-sourced and data-driven research to help our clients address their mission critical priorities.</w:t>
      </w:r>
    </w:p>
    <w:p>
      <w:pPr>
        <w:spacing w:after="0" w:line="197"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industry-leading conferences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peer-driven communities – each focused on the mission-critical priorities of specific business roles – our offerings enable attendees to experience the best of Gartner insights and guidance.</w:t>
      </w:r>
    </w:p>
    <w:p>
      <w:pPr>
        <w:spacing w:after="0" w:line="197"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we had 19,460 employees globally, a decrease of 7% from September 30, 2025. The largest decreases in headcount were in our Insights segment and the Digital Markets business, primarily in the second half of 2025 and the first quarter of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2026, we completed the sale of the Digital Markets business, for approximately $99.8 million net of cash transferred. We recorded a pre-tax gain of $6.8 million on the sale, which is included in Gain from sale of divested operation in the Consolidated Statement of Operations during the nine months ended September 30, 2026. The Digital Markets business represented the entirety of our Other segment.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business measurements are important performance indicators for our reportable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232"/>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Insights</w:t>
            </w: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Contract value </w:t>
            </w:r>
            <w:r>
              <w:rPr>
                <w:rFonts w:ascii="Times New Roman" w:cs="Times New Roman" w:eastAsia="Times New Roman" w:hAnsi="Times New Roman"/>
                <w:sz w:val="18"/>
                <w:szCs w:val="18"/>
                <w:color w:val="auto"/>
              </w:rPr>
              <w:t>represents the dollar value attributable to all of our subscription-related contracts. It is calculated as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annualized value of all contracts in effect at a specific point in time, without regard to the duration of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Contract value primarily includes Insights deliverables for which revenue is recognized on a ratable basis,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well as other deliverables (primarily Conferences tickets) for which revenue is recognized when the deliverable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 utilized. Comparing contract value year-over-year not only measures the short-term growth of our business, but</w:t>
            </w:r>
          </w:p>
        </w:tc>
        <w:tc>
          <w:tcPr>
            <w:tcW w:w="0" w:type="dxa"/>
            <w:vAlign w:val="bottom"/>
          </w:tcPr>
          <w:p>
            <w:pPr>
              <w:spacing w:after="0"/>
              <w:rPr>
                <w:sz w:val="1"/>
                <w:szCs w:val="1"/>
                <w:color w:val="auto"/>
              </w:rPr>
            </w:pPr>
          </w:p>
        </w:tc>
      </w:tr>
      <w:tr>
        <w:trPr>
          <w:trHeight w:val="212"/>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also signals the long-term health of our Insights subscription business since it measures revenue that is highly likely</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 recur over a multi-year period. Our contract value consists of </w:t>
            </w:r>
            <w:r>
              <w:rPr>
                <w:rFonts w:ascii="Times New Roman" w:cs="Times New Roman" w:eastAsia="Times New Roman" w:hAnsi="Times New Roman"/>
                <w:sz w:val="18"/>
                <w:szCs w:val="18"/>
                <w:b w:val="1"/>
                <w:bCs w:val="1"/>
                <w:color w:val="auto"/>
              </w:rPr>
              <w:t>Global Technology Sales</w:t>
            </w:r>
            <w:r>
              <w:rPr>
                <w:rFonts w:ascii="Times New Roman" w:cs="Times New Roman" w:eastAsia="Times New Roman" w:hAnsi="Times New Roman"/>
                <w:sz w:val="18"/>
                <w:szCs w:val="18"/>
                <w:color w:val="auto"/>
              </w:rPr>
              <w:t xml:space="preserve"> contract value, which</w:t>
            </w:r>
          </w:p>
        </w:tc>
        <w:tc>
          <w:tcPr>
            <w:tcW w:w="0" w:type="dxa"/>
            <w:vAlign w:val="bottom"/>
          </w:tcPr>
          <w:p>
            <w:pPr>
              <w:spacing w:after="0"/>
              <w:rPr>
                <w:sz w:val="1"/>
                <w:szCs w:val="1"/>
                <w:color w:val="auto"/>
              </w:rPr>
            </w:pPr>
          </w:p>
        </w:tc>
      </w:tr>
      <w:tr>
        <w:trPr>
          <w:trHeight w:val="220"/>
        </w:trPr>
        <w:tc>
          <w:tcPr>
            <w:tcW w:w="280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includes sales to users and providers of technology, and </w:t>
            </w:r>
            <w:r>
              <w:rPr>
                <w:rFonts w:ascii="Times New Roman" w:cs="Times New Roman" w:eastAsia="Times New Roman" w:hAnsi="Times New Roman"/>
                <w:sz w:val="18"/>
                <w:szCs w:val="18"/>
                <w:b w:val="1"/>
                <w:bCs w:val="1"/>
                <w:color w:val="auto"/>
              </w:rPr>
              <w:t>Global Business Sales</w:t>
            </w:r>
            <w:r>
              <w:rPr>
                <w:rFonts w:ascii="Times New Roman" w:cs="Times New Roman" w:eastAsia="Times New Roman" w:hAnsi="Times New Roman"/>
                <w:sz w:val="18"/>
                <w:szCs w:val="18"/>
                <w:color w:val="auto"/>
              </w:rPr>
              <w:t xml:space="preserve"> contract value, which includes sales</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all other functional leaders.</w:t>
            </w:r>
          </w:p>
        </w:tc>
        <w:tc>
          <w:tcPr>
            <w:tcW w:w="0" w:type="dxa"/>
            <w:vAlign w:val="bottom"/>
          </w:tcPr>
          <w:p>
            <w:pPr>
              <w:spacing w:after="0"/>
              <w:rPr>
                <w:sz w:val="1"/>
                <w:szCs w:val="1"/>
                <w:color w:val="auto"/>
              </w:rPr>
            </w:pPr>
          </w:p>
        </w:tc>
      </w:tr>
      <w:tr>
        <w:trPr>
          <w:trHeight w:val="414"/>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Client retention rate </w:t>
            </w:r>
            <w:r>
              <w:rPr>
                <w:rFonts w:ascii="Times New Roman" w:cs="Times New Roman" w:eastAsia="Times New Roman" w:hAnsi="Times New Roman"/>
                <w:sz w:val="18"/>
                <w:szCs w:val="18"/>
                <w:color w:val="auto"/>
              </w:rPr>
              <w:t>represents a measure of client satisfaction and renewed business relationships at a specific</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 Client retention is calculated on a percentage basis by dividing our current clients, who were also</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clients a year ago, by all clients from a year ago. Client retention is calculated at an enterprise level, which</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represents a single company or customer.</w:t>
            </w:r>
          </w:p>
        </w:tc>
        <w:tc>
          <w:tcPr>
            <w:tcW w:w="0" w:type="dxa"/>
            <w:vAlign w:val="bottom"/>
          </w:tcPr>
          <w:p>
            <w:pPr>
              <w:spacing w:after="0"/>
              <w:rPr>
                <w:sz w:val="1"/>
                <w:szCs w:val="1"/>
                <w:color w:val="auto"/>
              </w:rPr>
            </w:pPr>
          </w:p>
        </w:tc>
      </w:tr>
      <w:tr>
        <w:trPr>
          <w:trHeight w:val="414"/>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Wallet retention rate </w:t>
            </w:r>
            <w:r>
              <w:rPr>
                <w:rFonts w:ascii="Times New Roman" w:cs="Times New Roman" w:eastAsia="Times New Roman" w:hAnsi="Times New Roman"/>
                <w:sz w:val="18"/>
                <w:szCs w:val="18"/>
                <w:color w:val="auto"/>
              </w:rPr>
              <w:t>represents a measure of the amount of contract value we have retained with clients over a</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twelve-month period. Wallet retention is calculated on a percentage basis by dividing the contract value of our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clients, who were also clients a year ago, by the contract value from a year ago, excluding the impact of</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When wallet retention exceeds client retention, it is an indication of retention of higher-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spending clients, or increased spending by retained clients, or both. Wallet retention is calculated at an enterprise</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which represents a single company or customer.</w:t>
            </w:r>
          </w:p>
        </w:tc>
        <w:tc>
          <w:tcPr>
            <w:tcW w:w="0" w:type="dxa"/>
            <w:vAlign w:val="bottom"/>
          </w:tcPr>
          <w:p>
            <w:pPr>
              <w:spacing w:after="0"/>
              <w:rPr>
                <w:sz w:val="1"/>
                <w:szCs w:val="1"/>
                <w:color w:val="auto"/>
              </w:rPr>
            </w:pPr>
          </w:p>
        </w:tc>
      </w:tr>
      <w:tr>
        <w:trPr>
          <w:trHeight w:val="27"/>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Conferences</w:t>
            </w: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7"/>
        </w:trPr>
        <w:tc>
          <w:tcPr>
            <w:tcW w:w="2800" w:type="dxa"/>
            <w:vAlign w:val="bottom"/>
            <w:vMerge w:val="continue"/>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w:t>
            </w:r>
            <w:r>
              <w:rPr>
                <w:rFonts w:ascii="Times New Roman" w:cs="Times New Roman" w:eastAsia="Times New Roman" w:hAnsi="Times New Roman"/>
                <w:sz w:val="18"/>
                <w:szCs w:val="18"/>
                <w:color w:val="auto"/>
              </w:rPr>
              <w:t>represents the total number of hosted in-person conferences completed during</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period. Single day, local meetings are excluded.</w:t>
            </w:r>
          </w:p>
        </w:tc>
        <w:tc>
          <w:tcPr>
            <w:tcW w:w="0" w:type="dxa"/>
            <w:vAlign w:val="bottom"/>
          </w:tcPr>
          <w:p>
            <w:pPr>
              <w:spacing w:after="0"/>
              <w:rPr>
                <w:sz w:val="1"/>
                <w:szCs w:val="1"/>
                <w:color w:val="auto"/>
              </w:rPr>
            </w:pPr>
          </w:p>
        </w:tc>
      </w:tr>
      <w:tr>
        <w:trPr>
          <w:trHeight w:val="414"/>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attendees </w:t>
            </w:r>
            <w:r>
              <w:rPr>
                <w:rFonts w:ascii="Times New Roman" w:cs="Times New Roman" w:eastAsia="Times New Roman" w:hAnsi="Times New Roman"/>
                <w:sz w:val="18"/>
                <w:szCs w:val="18"/>
                <w:color w:val="auto"/>
              </w:rPr>
              <w:t>represents the total number of people who attend in-person</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conferences. Single day, local meetings are excluded.</w:t>
            </w:r>
          </w:p>
        </w:tc>
        <w:tc>
          <w:tcPr>
            <w:tcW w:w="0" w:type="dxa"/>
            <w:vAlign w:val="bottom"/>
          </w:tcPr>
          <w:p>
            <w:pPr>
              <w:spacing w:after="0"/>
              <w:rPr>
                <w:sz w:val="1"/>
                <w:szCs w:val="1"/>
                <w:color w:val="auto"/>
              </w:rPr>
            </w:pPr>
          </w:p>
        </w:tc>
      </w:tr>
      <w:tr>
        <w:trPr>
          <w:trHeight w:val="27"/>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Consulting</w:t>
            </w: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7"/>
        </w:trPr>
        <w:tc>
          <w:tcPr>
            <w:tcW w:w="2800" w:type="dxa"/>
            <w:vAlign w:val="bottom"/>
            <w:vMerge w:val="continue"/>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Consulting backlog </w:t>
            </w:r>
            <w:r>
              <w:rPr>
                <w:rFonts w:ascii="Times New Roman" w:cs="Times New Roman" w:eastAsia="Times New Roman" w:hAnsi="Times New Roman"/>
                <w:sz w:val="18"/>
                <w:szCs w:val="18"/>
                <w:color w:val="auto"/>
              </w:rPr>
              <w:t>represents future revenue to be derived from in-process consulting and benchmark analytics</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engagements.</w:t>
            </w:r>
          </w:p>
        </w:tc>
        <w:tc>
          <w:tcPr>
            <w:tcW w:w="0" w:type="dxa"/>
            <w:vAlign w:val="bottom"/>
          </w:tcPr>
          <w:p>
            <w:pPr>
              <w:spacing w:after="0"/>
              <w:rPr>
                <w:sz w:val="1"/>
                <w:szCs w:val="1"/>
                <w:color w:val="auto"/>
              </w:rPr>
            </w:pPr>
          </w:p>
        </w:tc>
      </w:tr>
      <w:tr>
        <w:trPr>
          <w:trHeight w:val="414"/>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Utilization rate </w:t>
            </w:r>
            <w:r>
              <w:rPr>
                <w:rFonts w:ascii="Times New Roman" w:cs="Times New Roman" w:eastAsia="Times New Roman" w:hAnsi="Times New Roman"/>
                <w:sz w:val="18"/>
                <w:szCs w:val="18"/>
                <w:color w:val="auto"/>
              </w:rPr>
              <w:t>represents a measure of productivity of our consultants. Utilization rates are calculated for billable</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headcount on a percentage basis by dividing total hours billed by total hours available to bill.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EXECUTIVE SUMMARY OF OPERATIONS AND FINANCIAL POSITION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fundamentals of our strategy include a focus on creating actionable business and technology insights for executives and their teams, delivering innovative and highly differentiated product offerings, building a strong sales capability, providing world class client service with a focus on client engagement and retention, and continuously improving our operational effectiveness.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total revenues of $1.5 billion during the third quarter of 2026, a decrease of 1% compared to the third quarter of 2025. The decrease was due to the sale of the Digital Markets business in February 2026. During the third quarter of 2026, compared to the third quarter of 2025, Insights revenues increased by 2%, Conferences revenues increased by 15%, and Consulting revenues increased by 2%. For a more complete discussion of our results by segment, see Segment Results below.</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third quarter of 2026 and 2025, we had net income of $214.4 million and $35.4 million, respectively, and diluted net income per share of $3.35 and $0.47, respectively. The increase in net income and diluted net income per share in 2026 compared to 2025 is primarily due to the goodwill impairment loss in 2025. Cash provided by operating activities was $1.1 billion and $1.0 billion during the nine months ended September 30, 2026 and 2025, respectively. As of September 30, 2026, we had $1.6 billion of cash and cash equivalents and approximately $1.0 billion of available borrowing capacity on our revolving credit facility. For a more complete discussion of our cash flows and financial position, see the Liquidity and Capital Resources section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regarding our critical accounting policies and estimates, please refer to Part II, Item 7, “Critical Accounting Policies and Estimates” contained in our Annual Report on Form 10-K for the fiscal year ended December 31, 2025. There have been no material changes to the critical accounting policies previously disclosed in that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FASB has issued accounting standards that have not yet become effective and that may impact the Company’s consolidated financial statements or its disclosures in future periods. Note 1 — Business and Basis of Presentation in the Notes to Condensed Consolidated Financial Statements provides information regarding those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an analysis of selected line items and period-over-period changes in our interim Condensed Consolidated Statements of Operations for the periods indicated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80" w:type="dxa"/>
            <w:vAlign w:val="bottom"/>
          </w:tcPr>
          <w:p>
            <w:pPr>
              <w:spacing w:after="0"/>
              <w:rPr>
                <w:sz w:val="17"/>
                <w:szCs w:val="17"/>
                <w:color w:val="auto"/>
              </w:rPr>
            </w:pP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62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Ended September</w:t>
            </w:r>
          </w:p>
        </w:tc>
        <w:tc>
          <w:tcPr>
            <w:tcW w:w="162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Ended September</w:t>
            </w: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41"/>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30, 2026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30, 2025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Insights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1,292,434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1,270,724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Conferences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Consulting</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(55,221)</w:t>
            </w:r>
          </w:p>
        </w:tc>
        <w:tc>
          <w:tcPr>
            <w:tcW w:w="1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1,504,791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1,524,072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(19,281)</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(41,075)</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762,557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1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194,767</w:t>
            </w:r>
          </w:p>
        </w:tc>
        <w:tc>
          <w:tcPr>
            <w:tcW w:w="1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214,419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179,062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nm = not meaningful</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8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80" w:type="dxa"/>
            <w:vAlign w:val="bottom"/>
          </w:tcPr>
          <w:p>
            <w:pPr>
              <w:spacing w:after="0"/>
              <w:rPr>
                <w:sz w:val="17"/>
                <w:szCs w:val="17"/>
                <w:color w:val="auto"/>
              </w:rPr>
            </w:pPr>
          </w:p>
        </w:tc>
        <w:tc>
          <w:tcPr>
            <w:tcW w:w="11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62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Ended September</w:t>
            </w:r>
          </w:p>
        </w:tc>
        <w:tc>
          <w:tcPr>
            <w:tcW w:w="162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Ended September</w:t>
            </w: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41"/>
        </w:trPr>
        <w:tc>
          <w:tcPr>
            <w:tcW w:w="5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30, 2026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30, 2025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Insights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3,876,499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3,789,798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Conferences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408,485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49,927</w:t>
            </w:r>
          </w:p>
        </w:tc>
        <w:tc>
          <w:tcPr>
            <w:tcW w:w="1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Consulting</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(31,474)</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(158,035)</w:t>
            </w:r>
          </w:p>
        </w:tc>
        <w:tc>
          <w:tcPr>
            <w:tcW w:w="1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4,691,775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4,744,656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(52,881)</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(131,620)</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2,237,783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2,269,753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1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975,723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691,472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284,251</w:t>
            </w:r>
          </w:p>
        </w:tc>
        <w:tc>
          <w:tcPr>
            <w:tcW w:w="1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25,462</w:t>
            </w:r>
          </w:p>
        </w:tc>
        <w:tc>
          <w:tcPr>
            <w:tcW w:w="1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190,455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23,251</w:t>
            </w:r>
          </w:p>
        </w:tc>
        <w:tc>
          <w:tcPr>
            <w:tcW w:w="1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712,261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487,079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225,182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1"/>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nm = not meaningful</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business performance being measured. We calculate foreign currency neutral dollar amounts by converting the underlying amounts in local currency for different periods into U.S. dollars by applying the same foreign exchange rates to all periods presented.</w:t>
      </w:r>
    </w:p>
    <w:p>
      <w:pPr>
        <w:spacing w:after="0" w:line="3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revenues for the three months ended September 30, 2026 were $1.5 billion, a decrease of $19.3 million, or 1% compared to the same period in 2025 on both a reported basis and excluding the foreign currency impact. Total revenues for the nine months ended September 30, 2026 were $4.7 billion, a decrease of $52.9 million, or 1% compared to the same period in 2025 on a reported basis and 2% excluding the foreign currency impact. The decreases in revenue for the three and nine months ended September 30, 2026 were primarily due to the sale of the Digital Markets business in February 2026. Refer to the section of this MD&amp;A below entitled “Segment Results” for a discussion of revenues and results by reportable segment.</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services and product development was $433.1 million during the three months ended September 30, 2026, a decrease of $41.1 million compared to the same period in 2025, or 9% on a reported basis and 8% excluding the foreign currency impact. The decrease in Cost of services and product development during the three months ended September 30, 2026 was primarily due to a $23.0 million decrease in product and content delivery expenses principally as a result of the sale of the Digital Markets business in February 2026, in addition to a $20.3 million decrease in personnel expenses due to lower headcount. Cost of services and product development as a percent of revenues was 29% and 31% for the three months ended September 30, 2026 and 2025, respectively. Cost of services and product development was $1.3 billion during the nine months ended September 30, 2026, a decrease of $131.6 million compared to the same period in 2025, or 9% on a reported basis and 10% excluding the foreign currency impact. The decrease in Cost of services and product development during the nine months ended September 30, 2026 was primarily due to the same factors that caused the year-over-year quarterly decrease, with a $71.6 million decrease in product and content delivery expenses, in addition to a $63.1 million decrease in personnel expenses. Cost of services and product development as a percent of revenues was 29% and 31% for the nine months ended September 30, 2026 and 2025, respectively.</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was $746.8 million during the three months ended September 30, 2026, a decrease of $15.7 million compared to the same period in 2025, or 2% on both a reported basis and excluding the foreign currency impact. The decrease in SG&amp;A expense during the three months ended September 30, 2026 was primarily due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reduced severance expenses. SG&amp;A expense was $2.2 billion during the nine months ended September 30, 2026, a decrease of $32.0 million compared to the same period in 2025, or 1% on a reported basis and 2% excluding the foreign currency impact. The decrease in SG&amp;A expense during the nine months ended September 30, 2026 was primarily due to the same factor that caused the year-over-year quarterly decrease. The number of quota-bearing sales associates in Global Technology Sales decreased by 2% to 3,637 and in Global Business Sales, decreased by 1% to 1,292 compared to September 30, 2025. On a combined basis, the total number of quota-bearing sales associates decreased by 2% when compared to September 30, 2025. SG&amp;A expense as a percent of revenues was 50% during both the three months ended September 30, 2026 and 2025. SG&amp;A expense as a percent of revenues was 48% during both the nine months ended September 30, 2026 and 2025.</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decreased by 19% and 16% during the three and nine months ended September 30, 2026, respectively, compared to the same periods in 2025. The decreases for both the three and nine months ended September 30, 2026 were primarily due to the sale of the Digital Markets business in February 2026.</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intangibles decreased by 3% during the nine months ended September 30, 2026, compared to the same period in 2025, due to certain intangible assets becoming fully amortized in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impairment of $150.0 million during the three and nine months ended September 30, 2025, reflected a goodwill impairment loss recognized in the Digital Markets reporting unit.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 from sale of divested operation of $6.8 million during the nine months ended September 30, 2026 was attributable to the sale of the Digital Markets business in February 2026.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was $281.1 million and $86.3 million during the three months ended September 30, 2026 and 2025, respectively. Operating income was $975.7 million and $691.5 million during the nine months ended September 30, 2026 and 2025, respectively. The increase in operating income for both the three and nine months ended September 30, 2026 as compared to the prior year periods was primarily due to the reduction in operating expenses as well as the goodwill impairment loss recognized in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increased by $7.4 million and $25.5 million during the three and nine months ended September 30, 2026, respectively, compared to the same periods in 2025. The increase for the three and nine months ended September 30, 2026 was due to a decrease in interest income, as a result of lower average cash balances than the prior year as well as an increase in interest expense related to the issuance of our 2031 and 2035 Notes in November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 for the periods presented herein primarily consisted of the net impact of foreign currency gains and losses.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$41.3 million and $34.1 million for the three months ended September 30, 2026 and 2025, respectively. The effective income tax rate was 16.1% and 49.1% for the three months ended September 30, 2026, and 2025, respectively. The decrease in the effective income tax rate in the current period was primarily attributable to a favorable release of reserves upon the resolution of the related inquiries, as well as the 2025 impact of the goodwill impairment, which was not deductible for tax purposes.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$190.5 million and $167.2 million for the nine months ended September 30, 2026 and 2025, respectively. The effective income tax rate was 21.1% and 25.6% for the nine months ended September 30, 2026 and 2025, respectively. The decrease in the effective income tax rate in the current period was primarily due to the same factors that caused the year-over-year quarterly decrease.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for the three months ended September 30, 2026 and 2025 was $214.4 million and $35.4 million, respectively, while net income for the nine months ended September 30, 2026 and 2025 was $712.3 million and $487.1 million, respectively. Our diluted net income per share during the three and nine months ended September 30, 2026 increased by $2.88 and $4.31, respectively. The increase in net income during both the three and nine months ended September 30, 2026 was primarily due to the 2025 periods including the goodwill impairment and a decrease in operating expenses, partially offset by a decrease in revenues and an increase in interest expense, net. The increase in diluted net income per share during the three and nine months ended September 30, 2026 was also driven by the decrease in diluted weighted average shares outstanding during 2026, as compared to the same periods in 2025.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segment performance and allocate resources based on gross contribution margin. Gross contribution is defined as operating income or loss excluding certain Cost of services and product development expenses, SG&amp;A expenses, Depreciation, Amortization of intangibles, goodwill impairment and Gain from sale of divested operation. Gross contribution margin is defined as gross contribution as a percent of revenues.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components of segment expense by percentage of segment revenues.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480" w:type="dxa"/>
            <w:vAlign w:val="bottom"/>
          </w:tcPr>
          <w:p>
            <w:pPr>
              <w:spacing w:after="0"/>
              <w:rPr>
                <w:sz w:val="20"/>
                <w:szCs w:val="20"/>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96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Consulting</w:t>
            </w:r>
          </w:p>
        </w:tc>
      </w:tr>
      <w:tr>
        <w:trPr>
          <w:trHeight w:val="237"/>
        </w:trPr>
        <w:tc>
          <w:tcPr>
            <w:tcW w:w="448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CCEEFF"/>
            </w:tcBorders>
            <w:shd w:val="clear" w:color="auto" w:fill="CCEEFF"/>
          </w:tcPr>
          <w:p>
            <w:pPr>
              <w:spacing w:after="0"/>
              <w:rPr>
                <w:sz w:val="20"/>
                <w:szCs w:val="20"/>
                <w:color w:val="auto"/>
              </w:rPr>
            </w:pPr>
          </w:p>
        </w:tc>
      </w:tr>
      <w:tr>
        <w:trPr>
          <w:trHeight w:val="23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and content delivery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1"/>
                <w:szCs w:val="2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21"/>
                <w:szCs w:val="21"/>
                <w:color w:val="auto"/>
              </w:rPr>
            </w:pP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 margin</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Borders>
              <w:top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480" w:type="dxa"/>
            <w:vAlign w:val="bottom"/>
          </w:tcPr>
          <w:p>
            <w:pPr>
              <w:spacing w:after="0"/>
              <w:rPr>
                <w:sz w:val="20"/>
                <w:szCs w:val="20"/>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9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Consulting</w:t>
            </w:r>
          </w:p>
        </w:tc>
      </w:tr>
      <w:tr>
        <w:trPr>
          <w:trHeight w:val="237"/>
        </w:trPr>
        <w:tc>
          <w:tcPr>
            <w:tcW w:w="448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CCEEFF"/>
            </w:tcBorders>
            <w:shd w:val="clear" w:color="auto" w:fill="CCEEFF"/>
          </w:tcPr>
          <w:p>
            <w:pPr>
              <w:spacing w:after="0"/>
              <w:rPr>
                <w:sz w:val="20"/>
                <w:szCs w:val="20"/>
                <w:color w:val="auto"/>
              </w:rPr>
            </w:pP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and content delivery expenses</w:t>
            </w:r>
          </w:p>
        </w:tc>
        <w:tc>
          <w:tcPr>
            <w:tcW w:w="14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1"/>
                <w:szCs w:val="2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21"/>
                <w:szCs w:val="21"/>
                <w:color w:val="auto"/>
              </w:rPr>
            </w:pP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 margin</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20"/>
                <w:szCs w:val="20"/>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Personnel expenses and product and content delivery expenses are the primary direct costs across all three reportable segments, although their relative significance varies based on each segment's operating model. The Insights segment benefits from a scalable subscription model that allows us to deliver products and services to additional customers without a proportionate increase in expenses, resulting in a higher contribution margin for the Insights business. Conferences has a different cost structure, with event delivery costs representing a significant component of direct expenses, which moderates margins despite relatively low personnel requirements. Consulting is the most labor-intensive business, with profitability largely dependent on staffing and utilization levels, as revenue growth typically requires corresponding investments in delivery personnel.</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sections below present the results of the Company’s three reportable business segments: Insights, Conferences and Consulting.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15"/>
                <w:szCs w:val="15"/>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4" w:lineRule="exact"/>
              <w:rPr>
                <w:sz w:val="20"/>
                <w:szCs w:val="20"/>
                <w:color w:val="auto"/>
              </w:rPr>
            </w:pPr>
            <w:r>
              <w:rPr>
                <w:rFonts w:ascii="Times New Roman" w:cs="Times New Roman" w:eastAsia="Times New Roman" w:hAnsi="Times New Roman"/>
                <w:sz w:val="15"/>
                <w:szCs w:val="15"/>
                <w:b w:val="1"/>
                <w:bCs w:val="1"/>
                <w:color w:val="auto"/>
                <w:w w:val="98"/>
              </w:rPr>
              <w:t>The Nine</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5"/>
                <w:szCs w:val="15"/>
                <w:b w:val="1"/>
                <w:bCs w:val="1"/>
                <w:color w:val="auto"/>
              </w:rPr>
              <w:t>The Nine</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1240" w:type="dxa"/>
            <w:vAlign w:val="bottom"/>
            <w:gridSpan w:val="3"/>
          </w:tcPr>
          <w:p>
            <w:pPr>
              <w:jc w:val="center"/>
              <w:ind w:right="12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20" w:type="dxa"/>
            <w:vAlign w:val="bottom"/>
            <w:gridSpan w:val="3"/>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Increase</w:t>
            </w:r>
          </w:p>
        </w:tc>
        <w:tc>
          <w:tcPr>
            <w:tcW w:w="108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Percentage</w:t>
            </w:r>
          </w:p>
        </w:tc>
        <w:tc>
          <w:tcPr>
            <w:tcW w:w="80" w:type="dxa"/>
            <w:vAlign w:val="bottom"/>
          </w:tcPr>
          <w:p>
            <w:pPr>
              <w:spacing w:after="0"/>
              <w:rPr>
                <w:sz w:val="13"/>
                <w:szCs w:val="13"/>
                <w:color w:val="auto"/>
              </w:rPr>
            </w:pPr>
          </w:p>
        </w:tc>
        <w:tc>
          <w:tcPr>
            <w:tcW w:w="122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20" w:type="dxa"/>
            <w:vAlign w:val="bottom"/>
            <w:gridSpan w:val="3"/>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Increase</w:t>
            </w:r>
          </w:p>
        </w:tc>
        <w:tc>
          <w:tcPr>
            <w:tcW w:w="108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8"/>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5"/>
                <w:szCs w:val="15"/>
                <w:color w:val="auto"/>
              </w:rPr>
              <w:t>Revenues</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1,292,434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1,270,724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21,710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3,876,499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3,789,798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86,701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0" w:type="dxa"/>
            <w:vAlign w:val="bottom"/>
          </w:tcPr>
          <w:p>
            <w:pPr>
              <w:spacing w:after="0"/>
              <w:rPr>
                <w:sz w:val="1"/>
                <w:szCs w:val="1"/>
                <w:color w:val="auto"/>
              </w:rPr>
            </w:pPr>
          </w:p>
        </w:tc>
      </w:tr>
      <w:tr>
        <w:trPr>
          <w:trHeight w:val="216"/>
        </w:trPr>
        <w:tc>
          <w:tcPr>
            <w:tcW w:w="1940" w:type="dxa"/>
            <w:vAlign w:val="bottom"/>
          </w:tcPr>
          <w:p>
            <w:pPr>
              <w:ind w:left="20"/>
              <w:spacing w:after="0" w:line="216" w:lineRule="exact"/>
              <w:rPr>
                <w:sz w:val="20"/>
                <w:szCs w:val="20"/>
                <w:color w:val="auto"/>
              </w:rPr>
            </w:pPr>
            <w:r>
              <w:rPr>
                <w:rFonts w:ascii="Times New Roman" w:cs="Times New Roman" w:eastAsia="Times New Roman" w:hAnsi="Times New Roman"/>
                <w:sz w:val="15"/>
                <w:szCs w:val="15"/>
                <w:color w:val="auto"/>
              </w:rPr>
              <w:t>Gross contribution</w:t>
            </w:r>
            <w:r>
              <w:rPr>
                <w:rFonts w:ascii="Times New Roman" w:cs="Times New Roman" w:eastAsia="Times New Roman" w:hAnsi="Times New Roman"/>
                <w:sz w:val="21"/>
                <w:szCs w:val="21"/>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1,002,919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974,323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28,596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3,013,809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2,901,002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112,807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78 %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 point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1 point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r>
              <w:rPr>
                <w:rFonts w:ascii="Times New Roman" w:cs="Times New Roman" w:eastAsia="Times New Roman" w:hAnsi="Times New Roman"/>
                <w:sz w:val="15"/>
                <w:szCs w:val="15"/>
                <w:color w:val="auto"/>
              </w:rPr>
              <w:t>:</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5"/>
                <w:szCs w:val="15"/>
                <w:color w:val="auto"/>
              </w:rPr>
              <w:t>Contract Value</w:t>
            </w:r>
            <w:r>
              <w:rPr>
                <w:rFonts w:ascii="Times New Roman" w:cs="Times New Roman" w:eastAsia="Times New Roman" w:hAnsi="Times New Roman"/>
                <w:sz w:val="21"/>
                <w:szCs w:val="21"/>
                <w:color w:val="auto"/>
                <w:vertAlign w:val="superscript"/>
              </w:rPr>
              <w:t>(1)(3)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5,340,000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5,211,000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129,000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
              <w:spacing w:after="0" w:line="216" w:lineRule="exact"/>
              <w:rPr>
                <w:sz w:val="20"/>
                <w:szCs w:val="20"/>
                <w:color w:val="auto"/>
              </w:rPr>
            </w:pPr>
            <w:r>
              <w:rPr>
                <w:rFonts w:ascii="Times New Roman" w:cs="Times New Roman" w:eastAsia="Times New Roman" w:hAnsi="Times New Roman"/>
                <w:sz w:val="15"/>
                <w:szCs w:val="15"/>
                <w:color w:val="auto"/>
              </w:rPr>
              <w:t>Global Technology Sales</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Contract value</w:t>
            </w:r>
            <w:r>
              <w:rPr>
                <w:rFonts w:ascii="Times New Roman" w:cs="Times New Roman" w:eastAsia="Times New Roman" w:hAnsi="Times New Roman"/>
                <w:sz w:val="21"/>
                <w:szCs w:val="21"/>
                <w:color w:val="auto"/>
                <w:vertAlign w:val="superscript"/>
              </w:rPr>
              <w:t>(1)(3)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4,033,000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3,951,000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82,000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Client retention</w:t>
            </w:r>
          </w:p>
        </w:tc>
        <w:tc>
          <w:tcPr>
            <w:tcW w:w="10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85 %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 point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Wallet retention</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98 %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
              <w:spacing w:after="0" w:line="216" w:lineRule="exact"/>
              <w:rPr>
                <w:sz w:val="20"/>
                <w:szCs w:val="20"/>
                <w:color w:val="auto"/>
              </w:rPr>
            </w:pPr>
            <w:r>
              <w:rPr>
                <w:rFonts w:ascii="Times New Roman" w:cs="Times New Roman" w:eastAsia="Times New Roman" w:hAnsi="Times New Roman"/>
                <w:sz w:val="15"/>
                <w:szCs w:val="15"/>
                <w:color w:val="auto"/>
              </w:rPr>
              <w:t>Global Business Sales</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Contract value</w:t>
            </w:r>
            <w:r>
              <w:rPr>
                <w:rFonts w:ascii="Times New Roman" w:cs="Times New Roman" w:eastAsia="Times New Roman" w:hAnsi="Times New Roman"/>
                <w:sz w:val="21"/>
                <w:szCs w:val="21"/>
                <w:color w:val="auto"/>
                <w:vertAlign w:val="superscript"/>
              </w:rPr>
              <w:t>(1)(3)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1,307,000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1,260,000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47,000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Client retention</w:t>
            </w:r>
          </w:p>
        </w:tc>
        <w:tc>
          <w:tcPr>
            <w:tcW w:w="10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87 %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Wallet retention</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99 %</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102 %</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 points</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Technology Sales includes sales to users and providers of technology. Global Business Sales includes sales to all other functional leaders.</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values are on a foreign currency neutral basis. Contract values as of September 30, 2025 have been calculated using the same foreign currency rates as 2026.</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Insights revenues increased by $21.7 million during the three months ended September 30, 2026 compared to the same period in 2025, or 2% both on a reported basis and excluding the foreign currency impact. Insights gross contribution increased $28.6 million during the three months ended September 30, 2026 compared to the same period in 2025, as a result of higher revenue and a decrease of $8.0 million, or 3%, in personnel expenses primarily due to lower average headcount. For the nine months ended September 30, 2026, Insights revenue increased by $86.7 million compared to the same period in 2025 or 2% on a reported basis and 1% excluding the foreign currency impact. Insights gross contribution increased $112.8 million during the nine months ended September 30, 2026 compared to the same period in 2025, as a result of higher revenue and a decrease of $28.7 million, or 3%, in personnel expenses primarily due to lower average headcount. The segment gross contribution margin was 78% and 77% for the three months ended September 30, 2026 and 2025, respectively, and 78% and 77% for the nine months ended September 30, 2026 and 2025, respectively.</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value increased to $5.3 billion at September 30, 2026, or 2% compared to September 30, 2025 excluding the foreign currency impact. The majority of industry sectors grew low to mid single-digit rates. Growth was led by the banking sector.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Technology Sales (“GTS”) contract value increased by 2% at September 30, 2026 when compared to September 30, 2025. The increase in GTS contract value was primarily due to business from new clients. GTS contract value increased by low to mid single-digit rates for nearly all commercial enterprise sizes and the majority of industry sectors.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Business Sales (“GBS”) contract value increased by 4% year-over-year, primarily driven by business from new clients. The majority of our GBS practices and commercial enterprise sizes achieved mid single-digit rates or faster growth rates, with the majority of sectors growing low to mid single-digit rates year-over-year.</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GTS client retention was 85% and 84% as of September 30, 2026 and 2025, respectively, while wallet retention was 98% as of both September 30, 2026 and 2025. GBS client retention was 87% as of both September 30, 2026 and 2025, while wallet retention was 99% and 102% as of September 30, 2026 and 2025, respectively. The decrease in GBS wallet retention was largely due to lower levels of spending by existing clients compared to the same period in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Conferences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00" w:type="dxa"/>
            <w:vAlign w:val="bottom"/>
          </w:tcPr>
          <w:p>
            <w:pPr>
              <w:spacing w:after="0"/>
              <w:rPr>
                <w:sz w:val="15"/>
                <w:szCs w:val="15"/>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Three Months</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Three Months</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Nine Months</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Nine Months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5"/>
                <w:szCs w:val="15"/>
                <w:b w:val="1"/>
                <w:bCs w:val="1"/>
                <w:color w:val="auto"/>
              </w:rPr>
              <w:t>Ended</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Ended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Ended</w:t>
            </w: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Ended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12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11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1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00" w:type="dxa"/>
            <w:vAlign w:val="bottom"/>
          </w:tcPr>
          <w:p>
            <w:pPr>
              <w:spacing w:after="0"/>
              <w:rPr>
                <w:sz w:val="17"/>
                <w:szCs w:val="17"/>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2"/>
        </w:trPr>
        <w:tc>
          <w:tcPr>
            <w:tcW w:w="2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5"/>
                <w:szCs w:val="15"/>
                <w:color w:val="auto"/>
              </w:rPr>
              <w:t>Revenues</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86,003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74,554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15 %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408,485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358,558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49,927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line="216" w:lineRule="exact"/>
              <w:rPr>
                <w:sz w:val="20"/>
                <w:szCs w:val="20"/>
                <w:color w:val="auto"/>
              </w:rPr>
            </w:pPr>
            <w:r>
              <w:rPr>
                <w:rFonts w:ascii="Times New Roman" w:cs="Times New Roman" w:eastAsia="Times New Roman" w:hAnsi="Times New Roman"/>
                <w:sz w:val="15"/>
                <w:szCs w:val="15"/>
                <w:color w:val="auto"/>
              </w:rPr>
              <w:t>Gross contribution</w:t>
            </w:r>
            <w:r>
              <w:rPr>
                <w:rFonts w:ascii="Times New Roman" w:cs="Times New Roman" w:eastAsia="Times New Roman" w:hAnsi="Times New Roman"/>
                <w:sz w:val="21"/>
                <w:szCs w:val="21"/>
                <w:color w:val="auto"/>
                <w:vertAlign w:val="superscript"/>
              </w:rPr>
              <w:t>(1)</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29,981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27,312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2,669</w:t>
            </w:r>
          </w:p>
        </w:tc>
        <w:tc>
          <w:tcPr>
            <w:tcW w:w="100" w:type="dxa"/>
            <w:vAlign w:val="bottom"/>
          </w:tcPr>
          <w:p>
            <w:pPr>
              <w:spacing w:after="0"/>
              <w:rPr>
                <w:sz w:val="18"/>
                <w:szCs w:val="18"/>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10 %</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205,612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176,082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29,530</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17 %</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(2) points</w:t>
            </w:r>
          </w:p>
        </w:tc>
        <w:tc>
          <w:tcPr>
            <w:tcW w:w="12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1 point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5"/>
                <w:szCs w:val="15"/>
                <w:color w:val="auto"/>
              </w:rPr>
              <w:t>Number of destination</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conferences</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30 %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Number of destination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line="216" w:lineRule="exact"/>
              <w:rPr>
                <w:sz w:val="20"/>
                <w:szCs w:val="20"/>
                <w:color w:val="auto"/>
              </w:rPr>
            </w:pPr>
            <w:r>
              <w:rPr>
                <w:rFonts w:ascii="Times New Roman" w:cs="Times New Roman" w:eastAsia="Times New Roman" w:hAnsi="Times New Roman"/>
                <w:sz w:val="15"/>
                <w:szCs w:val="15"/>
                <w:color w:val="auto"/>
              </w:rPr>
              <w:t>conferences attendees</w:t>
            </w:r>
            <w:r>
              <w:rPr>
                <w:rFonts w:ascii="Times New Roman" w:cs="Times New Roman" w:eastAsia="Times New Roman" w:hAnsi="Times New Roman"/>
                <w:sz w:val="21"/>
                <w:szCs w:val="21"/>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13,575</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11,454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2,121</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19 %</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53,105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51,660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1,445</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34715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day, local meetings are excluded.</w:t>
      </w:r>
    </w:p>
    <w:p>
      <w:pPr>
        <w:spacing w:after="0" w:line="2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Conferences revenues increased by $11.4 million during the three months ended September 30, 2026 compared to the same period in 2025, or 15% on both a reported basis and excluding the foreign currency impact. The increase in revenues for the three months ended September 30, 2026 was primarily due to higher exhibitor revenue, as well as an increase in attendee revenue. We held 13 and 10 destination conferences during the three months ended September 30, 2026 and 2025, respectively. Gross contribution increased to $30.0 million during the three months ended September 30, 2026 compared to $27.3 million in the same period last year. Conferences gross contribution increased by $2.7 million during the three months ended September 30, 2026 compared to the same period in 2025 as higher revenues were partially offset by a $6.6 million, or 26%, increase in product and content delivery expenses primarily due to us hosting 3 additional destination conferences in 2026 and a $1.4 million, or 7%, increase in personnel expenses primarily due to an increase in average headcount as well as merit increases. The segment gross contribution margin was 35% and 37% during the three months 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respectively. The lower gross contribution margin during 2026 was primarily the result of the increase in segment expenses</w:t>
      </w:r>
      <w:r>
        <w:rPr>
          <w:rFonts w:ascii="Times New Roman" w:cs="Times New Roman" w:eastAsia="Times New Roman" w:hAnsi="Times New Roman"/>
          <w:sz w:val="21"/>
          <w:szCs w:val="21"/>
          <w:color w:val="auto"/>
        </w:rPr>
        <w:t>.</w:t>
      </w:r>
    </w:p>
    <w:p>
      <w:pPr>
        <w:spacing w:after="0" w:line="2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Conferences revenues increased by $49.9 million during the nine months ended September 30, 2026 compared to the same period in 2025, or 14% on a reported basis and 13% excluding the foreign currency impact. The increase in revenues for the nine months ended September 30, 2026 was primarily due to higher exhibitor revenue, as well as an increase in attendee revenue. We held 41 and 39 destination conferences during the nine months ended September 30, 2026 and 2025, respectively. Gross contribution increased to $205.6 million during the nine months ended September 30, 2026 compared to $176.1 million in the same period last year. Conferences gross contribution increased by $29.5 million during the nine months ended September 30, 2026 compared to the same period in 2025 as higher revenues were partially offset by a $17.6 million, or 15%, increase in product and content delivery expenses primarily due to us hosting two additional destination conferences in 2026 and a $2.0 million, or 4%, increase in personnel expenses primarily due to an increase in average headcount as well as merit increases. The segment gross contribution margin was 50% and 49% during the nine months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respectively. The higher gross contribution margin during 2026 was primarily the result of the increase in revenue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Consulting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40" w:type="dxa"/>
            <w:vAlign w:val="bottom"/>
          </w:tcPr>
          <w:p>
            <w:pPr>
              <w:spacing w:after="0"/>
              <w:rPr>
                <w:sz w:val="15"/>
                <w:szCs w:val="15"/>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The Nine</w:t>
            </w:r>
          </w:p>
        </w:tc>
        <w:tc>
          <w:tcPr>
            <w:tcW w:w="180" w:type="dxa"/>
            <w:vAlign w:val="bottom"/>
          </w:tcPr>
          <w:p>
            <w:pPr>
              <w:spacing w:after="0"/>
              <w:rPr>
                <w:sz w:val="13"/>
                <w:szCs w:val="13"/>
                <w:color w:val="auto"/>
              </w:rPr>
            </w:pPr>
          </w:p>
        </w:tc>
        <w:tc>
          <w:tcPr>
            <w:tcW w:w="102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The Nine</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1180" w:type="dxa"/>
            <w:vAlign w:val="bottom"/>
            <w:gridSpan w:val="3"/>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18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Increase</w:t>
            </w:r>
          </w:p>
        </w:tc>
        <w:tc>
          <w:tcPr>
            <w:tcW w:w="120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Percentage</w:t>
            </w:r>
          </w:p>
        </w:tc>
        <w:tc>
          <w:tcPr>
            <w:tcW w:w="1180" w:type="dxa"/>
            <w:vAlign w:val="bottom"/>
            <w:gridSpan w:val="3"/>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00" w:type="dxa"/>
            <w:vAlign w:val="bottom"/>
            <w:gridSpan w:val="3"/>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Increase</w:t>
            </w:r>
          </w:p>
        </w:tc>
        <w:tc>
          <w:tcPr>
            <w:tcW w:w="1100" w:type="dxa"/>
            <w:vAlign w:val="bottom"/>
          </w:tcPr>
          <w:p>
            <w:pPr>
              <w:jc w:val="right"/>
              <w:ind w:right="104"/>
              <w:spacing w:after="0" w:line="156" w:lineRule="exact"/>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00" w:type="dxa"/>
            <w:vAlign w:val="bottom"/>
          </w:tcPr>
          <w:p>
            <w:pPr>
              <w:jc w:val="right"/>
              <w:ind w:right="204"/>
              <w:spacing w:after="0" w:line="149"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60" w:type="dxa"/>
            <w:vAlign w:val="bottom"/>
          </w:tcPr>
          <w:p>
            <w:pPr>
              <w:spacing w:after="0"/>
              <w:rPr>
                <w:sz w:val="18"/>
                <w:szCs w:val="18"/>
                <w:color w:val="auto"/>
              </w:rPr>
            </w:pPr>
          </w:p>
        </w:tc>
        <w:tc>
          <w:tcPr>
            <w:tcW w:w="94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9"/>
              </w:rPr>
              <w:t>2026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10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8"/>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5"/>
                <w:szCs w:val="15"/>
                <w:color w:val="auto"/>
              </w:rPr>
              <w:t>Revenues</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126,354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123,573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2,781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387,399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418,873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(31,474)</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line="216" w:lineRule="exact"/>
              <w:rPr>
                <w:sz w:val="20"/>
                <w:szCs w:val="20"/>
                <w:color w:val="auto"/>
              </w:rPr>
            </w:pPr>
            <w:r>
              <w:rPr>
                <w:rFonts w:ascii="Times New Roman" w:cs="Times New Roman" w:eastAsia="Times New Roman" w:hAnsi="Times New Roman"/>
                <w:sz w:val="15"/>
                <w:szCs w:val="15"/>
                <w:color w:val="auto"/>
              </w:rPr>
              <w:t>Gross contribution</w:t>
            </w:r>
            <w:r>
              <w:rPr>
                <w:rFonts w:ascii="Times New Roman" w:cs="Times New Roman" w:eastAsia="Times New Roman" w:hAnsi="Times New Roman"/>
                <w:sz w:val="21"/>
                <w:szCs w:val="2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42,735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35,222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7,513</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133,310</w:t>
            </w:r>
          </w:p>
        </w:tc>
        <w:tc>
          <w:tcPr>
            <w:tcW w:w="8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150,169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(16,859)</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5 points</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 points</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5"/>
                <w:szCs w:val="15"/>
                <w:color w:val="auto"/>
              </w:rPr>
              <w:t>Backlog</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21"/>
                <w:szCs w:val="21"/>
                <w:color w:val="auto"/>
                <w:vertAlign w:val="superscript"/>
              </w:rPr>
              <w:t>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216,922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199,290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17,632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Billable headcount</w:t>
            </w:r>
          </w:p>
        </w:tc>
        <w:tc>
          <w:tcPr>
            <w:tcW w:w="140" w:type="dxa"/>
            <w:vAlign w:val="bottom"/>
          </w:tcPr>
          <w:p>
            <w:pPr>
              <w:spacing w:after="0"/>
              <w:rPr>
                <w:sz w:val="18"/>
                <w:szCs w:val="18"/>
                <w:color w:val="auto"/>
              </w:rPr>
            </w:pPr>
          </w:p>
        </w:tc>
        <w:tc>
          <w:tcPr>
            <w:tcW w:w="9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Consultant utilization</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6 points</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 point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is on a foreign currency neutral basis. Backlog as of September 30, 2025 has been calculated using the same foreign currency rates as 2026.</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Consulting revenues increased by $2.8 million during the three months ended September 30, 2026 compared to the same period in 2025 or 2% a reported basis and 3% excluding the foreign currency impact, with labor-based consulting revenue flat and an increase in contract optimization revenue of 9%, each on a reported basis. The primary region driving the increase in revenue compared to the prior year period was the United States, partially offset by Japan and Europe, Middle East and Africa (“EMEA”), principally in the commercial sector. Contract optimization revenue may vary significantly and, as such, revenues for the third quarter of 2026 may not be indicative of results for the remainder of 2026 or beyond.</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Consulting gross contribution increased $7.5 million during the three months ended September 30, 2026 compared to 2025 due to higher revenues and a $4.8 million, or 6%, decrease in personnel expenses primarily due to lower headcount. The segment gross contribution margin was 34% and 29% for the three months ended September 30, 2026 and 2025, respectively. The increase in gross contribution margin for the three months ended September 30, 2026 was primarily due to the decrease in personnel expenses.</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Consulting revenues decreased by $31.5 million compared to the same period in 2025, or 8% on both a reported basis and excluding the foreign currency impact, with a decrease in labor-based consulting revenue of 9% and a decrease in contract optimization revenue of 3%, each on a reported basis. The primary regions driving the decrease in revenue compared to the prior year period were Japan and EMEA, principally in the commercial sector.</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Consulting gross contribution decreased $16.9 million during the nine months ended September 30, 2026 compared to 2025 due to lower revenues partially offset by a $14.0 million, or 6%, decrease in personnel expenses primarily due to lower headcount. The segment gross contribution margin was 34% and 36% for the nine months ended September 30, 2026 and 2025, respectively. The decrease in gross contribution margin for the nine months ended September 30, 2026 was primarily due to the decrease in revenues.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increased by $17.6 million, or 9%, from September 30, 2025 to September 30, 2026, excluding the foreign currency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finance our operations through cash generated from our operating activities and, to a lesser extent, borrowings. Note 8 — Debt in the Notes to Condensed Consolidated Financial Statements provides additional information regarding the Company’s outstanding debt obligations. At September 30, 2026, we had $1.6 billion of cash and cash equivalents and approximately $1.0 billion of available borrowing capacity on the revolving credit facility under our 2024 Credit Agreement. We believe that the Company has adequate liquidity to meet its currently anticipated needs for both the next twelve months and the foreseeable future.</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historically generated significant cash flows from our operating activities, benefiting from the favorable working capital dynamics of our subscription-based business model in our Insights segment, which is our largest business segment and historically has constituted a significant portion of our total revenues. The majority of our Insights customer contracts are paid in advance and, combined with a strong customer retention rate and high incremental margins, our subscription-based business model has resulted in continuously strong operating cash flow. Cash flow generation has also benefited from our ongoing efforts to improve the operating efficiencies of our businesses as well as a focus on the optimal management of our working capital as we increase sales. Since Insights customers are primarily billed upfront, operating cash flows are influenced not only by the timing of customer collections but also by the rate of growth or decline in subscription contract value. Generally, higher subscription contract value growth results in a greater increase in upfront billings and associated operating cash flow generation, while slower growth or declining subscription contract value have a negative impact on operating cash flow generation relative to prior periods. Our operating cash flows are influenced by the combined effects of fees receivable and deferred revenue, as well as deferred commissions and commissions payable, rather than by changes in those account balances viewed in isolation.</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and cash equivalents are held in numerous locations throughout the world with 66% held outside the U.S. at September 30, 2026. We continue to assert our intention to reinvest substantially all remaining accumulated undistributed foreign earnings, except in instances where repatriation would result in minimal additional tax.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our cash balances for the periods indicated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220" w:type="dxa"/>
            <w:vAlign w:val="bottom"/>
          </w:tcPr>
          <w:p>
            <w:pPr>
              <w:spacing w:after="0"/>
              <w:rPr>
                <w:sz w:val="17"/>
                <w:szCs w:val="17"/>
                <w:color w:val="auto"/>
              </w:rPr>
            </w:pPr>
          </w:p>
        </w:tc>
        <w:tc>
          <w:tcPr>
            <w:tcW w:w="12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84"/>
        </w:trPr>
        <w:tc>
          <w:tcPr>
            <w:tcW w:w="6500" w:type="dxa"/>
            <w:vAlign w:val="bottom"/>
          </w:tcPr>
          <w:p>
            <w:pPr>
              <w:spacing w:after="0"/>
              <w:rPr>
                <w:sz w:val="16"/>
                <w:szCs w:val="16"/>
                <w:color w:val="auto"/>
              </w:rPr>
            </w:pPr>
          </w:p>
        </w:tc>
        <w:tc>
          <w:tcPr>
            <w:tcW w:w="158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Ended September</w:t>
            </w:r>
          </w:p>
        </w:tc>
        <w:tc>
          <w:tcPr>
            <w:tcW w:w="1600" w:type="dxa"/>
            <w:vAlign w:val="bottom"/>
            <w:gridSpan w:val="3"/>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rPr>
              <w:t>Ended September</w:t>
            </w: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30, 2026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995,821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87,939</w:t>
            </w:r>
          </w:p>
        </w:tc>
        <w:tc>
          <w:tcPr>
            <w:tcW w:w="0" w:type="dxa"/>
            <w:vAlign w:val="bottom"/>
          </w:tcPr>
          <w:p>
            <w:pPr>
              <w:spacing w:after="0"/>
              <w:rPr>
                <w:sz w:val="1"/>
                <w:szCs w:val="1"/>
                <w:color w:val="auto"/>
              </w:rPr>
            </w:pP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131,455</w:t>
            </w:r>
          </w:p>
        </w:tc>
        <w:tc>
          <w:tcPr>
            <w:tcW w:w="0" w:type="dxa"/>
            <w:vAlign w:val="bottom"/>
          </w:tcPr>
          <w:p>
            <w:pPr>
              <w:spacing w:after="0"/>
              <w:rPr>
                <w:sz w:val="1"/>
                <w:szCs w:val="1"/>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(1,206,299)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(1,467,475)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261,176</w:t>
            </w:r>
          </w:p>
        </w:tc>
        <w:tc>
          <w:tcPr>
            <w:tcW w:w="0" w:type="dxa"/>
            <w:vAlign w:val="bottom"/>
          </w:tcPr>
          <w:p>
            <w:pPr>
              <w:spacing w:after="0"/>
              <w:rPr>
                <w:sz w:val="1"/>
                <w:szCs w:val="1"/>
                <w:color w:val="auto"/>
              </w:rPr>
            </w:pPr>
          </w:p>
        </w:tc>
      </w:tr>
      <w:tr>
        <w:trPr>
          <w:trHeight w:val="23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480,570</w:t>
            </w:r>
          </w:p>
        </w:tc>
        <w:tc>
          <w:tcPr>
            <w:tcW w:w="0" w:type="dxa"/>
            <w:vAlign w:val="bottom"/>
          </w:tcPr>
          <w:p>
            <w:pPr>
              <w:spacing w:after="0"/>
              <w:rPr>
                <w:sz w:val="1"/>
                <w:szCs w:val="1"/>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rates on cash and cash equivalents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(67,537)</w:t>
            </w:r>
          </w:p>
        </w:tc>
        <w:tc>
          <w:tcPr>
            <w:tcW w:w="0" w:type="dxa"/>
            <w:vAlign w:val="bottom"/>
          </w:tcPr>
          <w:p>
            <w:pPr>
              <w:spacing w:after="0"/>
              <w:rPr>
                <w:sz w:val="1"/>
                <w:szCs w:val="1"/>
                <w:color w:val="auto"/>
              </w:rPr>
            </w:pPr>
          </w:p>
        </w:tc>
      </w:tr>
      <w:tr>
        <w:trPr>
          <w:trHeight w:val="24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1,722,521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1,933,147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(210,626)</w:t>
            </w:r>
          </w:p>
        </w:tc>
        <w:tc>
          <w:tcPr>
            <w:tcW w:w="0" w:type="dxa"/>
            <w:vAlign w:val="bottom"/>
          </w:tcPr>
          <w:p>
            <w:pPr>
              <w:spacing w:after="0"/>
              <w:rPr>
                <w:sz w:val="1"/>
                <w:szCs w:val="1"/>
                <w:color w:val="auto"/>
              </w:rPr>
            </w:pPr>
          </w:p>
        </w:tc>
      </w:tr>
      <w:tr>
        <w:trPr>
          <w:trHeight w:val="261"/>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1,430,730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202,407</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was $1,083.8 million and $995.8 million during the nine months ended September 30, 2026 and 2025, respectively. The year-over-year increase was primarily due to higher operating income as well as improving contract value growth, partially offset by an approximately $37.0 million increase in net cash interest payments and the timing of severance and indirect tax payments. While operating income increased $284.3 million year over year, $150.0 million of the increase related to the absence of the non-cash goodwill impairment recognized in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(used in) investing activities was $40.1 million and $(91.3) million during the nine months ended September 30, 2026 and 2025, respectively. The change from 2025 to 2026 was primarily the result of the proceeds from the sale of the Digital Markets business in February 2026, as well as lower capital expenditures, principally the result of an approximately $22.0 million decrease in real estate-related spending.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$1.2 billion and $1.5 billion during the nine months ended September 30, 2026 and 2025, respectively. We used $1.2 billion and $1.5 billion of cash for share repurchases during the nine months ended September 30, 2026 and 2025,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had $3.0 billion of principal amount of debt outstanding. Note 8 — Debt in the Notes to Condensed Consolidated Financial Statements provides additional information regarding the Company’s outstanding debt obligations. From time to time, the Company may seek to retire or repurchase its outstanding debt through various methods including open market repurchases, negotiated block transactions, or otherwise, all or some of which may be effected through Rule 10b5-1 plans. Such transactions, if any, depend on prevailing market conditions, our liquidity and capital requirements, contractual restrictions, and other factors, and may involve material amounts.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January 1, 2026 through September 30, 2026, the Company has not entered into any material off-balance sheet arrangements or transactions with unconsolidated entities or other persons.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$3.0 billion in total debt principal outstanding. None of the Company’s total debt outstanding as of September 30, 2026 was based on a floating base rate of interest. Note 8 — Debt in the Notes to Condensed Consolidated Financial Statements provides additional information regarding the Company’s outstanding debt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revenues are typically derived from sales outside of the United States. Among the major foreign currencies in which we conduct business are the Euro, the British Pound, the Japanese Yen, the Australian dollar and the Canadian dollar. The reporting currency of our Condensed Consolidated Financial Statements is the U.S. dollar. As the values of the foreign currencies in which we operate fluctuate over time relative to the U.S. dollar, the Company is exposed to both foreign currency translation and transaction risk.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Translation risk 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September 30, 2026, we had $1.6 billion of cash and cash equivalents, with a substantial portion denominated in foreign currencies. If the exchange rates of the foreign currencies we hold all changed in comparison to the U.S. dollar by 10%, the amount of cash and cash equivalents we would have reported on September 30, 2026 could have increased or decreased by approximately $129.4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risk 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September 30, 2026 had an immaterial net unrealized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the information we are required to disclose in our reports filed or submitted under the Securities Exchange Act of 1934, as amended (the “Exchange Act”), is recorded, processed, summarized and reported within the time periods specified in the rules and forms of the SEC, and such information is accumulated and communicated to our executive management team, including our chief executive officer and our chief financial officer, to allow timely decisions regarding required disclosure.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conducted an evaluation, as of September 30, 2026, of the effectiveness of the design and operation of our disclosure controls and procedures, as such term is defined in Rules 13a-15(e) and 15d-15(e) of the Exchange Act, under the supervision and with the participation of our chief executive officer and chief financial officer. Based upon that evaluation, our chief executive officer and chief financial officer have concluded that, as of September 30, 2026, the Company’s disclosure controls and procedures were effective.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paragraph (d) of Exchange Act Rules 13a-15 or 15d-15 that occurred during the quarter ended September 30, 2026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-175895</wp:posOffset>
            </wp:positionV>
            <wp:extent cx="285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risk factors disclosed in Part I, Item 1A of our Annual Report on Form 10-K for the year ended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2015, the Company’s Board of Directors (the “Board”) authorized a share repurchase program to repurchase up to $1.2 billion of the Company’s common stock. The Board authorized incremental share repurchases of up to an aggregate additional $7.4 billion of the Company’s common stock from February 2021 to July 2026.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September 30, 2026.</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Maximum Approximate</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Dollar Value of Shares</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Under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189"/>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vMerge w:val="restart"/>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center"/>
              <w:ind w:right="3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Under the Plans or Programs</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3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to July 31, 2026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783,941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783,864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1,161,883</w:t>
            </w:r>
          </w:p>
        </w:tc>
        <w:tc>
          <w:tcPr>
            <w:tcW w:w="0" w:type="dxa"/>
            <w:vAlign w:val="bottom"/>
          </w:tcPr>
          <w:p>
            <w:pPr>
              <w:spacing w:after="0"/>
              <w:rPr>
                <w:sz w:val="1"/>
                <w:szCs w:val="1"/>
                <w:color w:val="auto"/>
              </w:rPr>
            </w:pPr>
          </w:p>
        </w:tc>
      </w:tr>
      <w:tr>
        <w:trPr>
          <w:trHeight w:val="24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2026 to August 31, 2026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151.75</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1,156,883</w:t>
            </w:r>
          </w:p>
        </w:tc>
        <w:tc>
          <w:tcPr>
            <w:tcW w:w="0" w:type="dxa"/>
            <w:vAlign w:val="bottom"/>
          </w:tcPr>
          <w:p>
            <w:pPr>
              <w:spacing w:after="0"/>
              <w:rPr>
                <w:sz w:val="1"/>
                <w:szCs w:val="1"/>
                <w:color w:val="auto"/>
              </w:rPr>
            </w:pPr>
          </w:p>
        </w:tc>
      </w:tr>
      <w:tr>
        <w:trPr>
          <w:trHeight w:val="243"/>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to September 30, 2026</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100" w:type="dxa"/>
            <w:vAlign w:val="bottom"/>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1,145,909</w:t>
            </w:r>
          </w:p>
        </w:tc>
        <w:tc>
          <w:tcPr>
            <w:tcW w:w="0" w:type="dxa"/>
            <w:vAlign w:val="bottom"/>
          </w:tcPr>
          <w:p>
            <w:pPr>
              <w:spacing w:after="0"/>
              <w:rPr>
                <w:sz w:val="1"/>
                <w:szCs w:val="1"/>
                <w:color w:val="auto"/>
              </w:rPr>
            </w:pPr>
          </w:p>
        </w:tc>
      </w:tr>
      <w:tr>
        <w:trPr>
          <w:trHeight w:val="237"/>
        </w:trPr>
        <w:tc>
          <w:tcPr>
            <w:tcW w:w="3960" w:type="dxa"/>
            <w:vAlign w:val="bottom"/>
            <w:gridSpan w:val="2"/>
          </w:tcPr>
          <w:p>
            <w:pPr>
              <w:ind w:left="220"/>
              <w:spacing w:after="0" w:line="236" w:lineRule="exact"/>
              <w:rPr>
                <w:sz w:val="20"/>
                <w:szCs w:val="20"/>
                <w:color w:val="auto"/>
              </w:rPr>
            </w:pPr>
            <w:r>
              <w:rPr>
                <w:rFonts w:ascii="Times New Roman" w:cs="Times New Roman" w:eastAsia="Times New Roman" w:hAnsi="Times New Roman"/>
                <w:sz w:val="18"/>
                <w:szCs w:val="18"/>
                <w:color w:val="auto"/>
              </w:rPr>
              <w:t>Total for the quarter</w:t>
            </w:r>
            <w:r>
              <w:rPr>
                <w:rFonts w:ascii="Times New Roman" w:cs="Times New Roman" w:eastAsia="Times New Roman" w:hAnsi="Times New Roman"/>
                <w:sz w:val="23"/>
                <w:szCs w:val="23"/>
                <w:color w:val="auto"/>
                <w:vertAlign w:val="superscript"/>
              </w:rPr>
              <w:t>(1)</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886,818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881,291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20" w:hanging="332"/>
        <w:spacing w:after="0" w:line="282"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repurchased shares during the three months ended September 30, 2026 included 5,527 shares purchased for the settlement of stock-based compensation awards and 881,291 shares purchased in the open market. Amounts presented exclude the excise tax accrual.</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Insider Trading Arrangements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director or Section 16 officer adopted or terminated a trading arrangement intended to satisfy the affirmative defense conditions of Rule 10b5-1(c) or a non-Rule 10b5–1 trading arrangement during the three months ended September 30, 2026.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0" w:type="dxa"/>
            <w:vAlign w:val="bottom"/>
          </w:tcPr>
          <w:p>
            <w:pPr>
              <w:spacing w:after="0"/>
              <w:rPr>
                <w:sz w:val="1"/>
                <w:szCs w:val="1"/>
                <w:color w:val="auto"/>
              </w:rPr>
            </w:pPr>
          </w:p>
        </w:tc>
      </w:tr>
      <w:tr>
        <w:trPr>
          <w:trHeight w:val="243"/>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gridSpan w:val="3"/>
            <w:vMerge w:val="restart"/>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900" w:type="dxa"/>
            <w:vAlign w:val="bottom"/>
          </w:tcPr>
          <w:p>
            <w:pPr>
              <w:spacing w:after="0"/>
              <w:rPr>
                <w:sz w:val="21"/>
                <w:szCs w:val="21"/>
                <w:color w:val="auto"/>
              </w:rPr>
            </w:pP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Restated Certificate of Incorporation of the Company (Incorporated by reference from the Company’s Current Report on Form 8-K filed</w:t>
            </w:r>
          </w:p>
        </w:tc>
        <w:tc>
          <w:tcPr>
            <w:tcW w:w="0" w:type="dxa"/>
            <w:vAlign w:val="bottom"/>
          </w:tcPr>
          <w:p>
            <w:pPr>
              <w:spacing w:after="0"/>
              <w:rPr>
                <w:sz w:val="1"/>
                <w:szCs w:val="1"/>
                <w:color w:val="auto"/>
              </w:rPr>
            </w:pPr>
          </w:p>
        </w:tc>
      </w:tr>
      <w:tr>
        <w:trPr>
          <w:trHeight w:val="108"/>
        </w:trPr>
        <w:tc>
          <w:tcPr>
            <w:tcW w:w="320" w:type="dxa"/>
            <w:vAlign w:val="bottom"/>
            <w:gridSpan w:val="3"/>
            <w:vMerge w:val="continue"/>
          </w:tcPr>
          <w:p>
            <w:pPr>
              <w:spacing w:after="0"/>
              <w:rPr>
                <w:sz w:val="9"/>
                <w:szCs w:val="9"/>
                <w:color w:val="auto"/>
              </w:rPr>
            </w:pPr>
          </w:p>
        </w:tc>
        <w:tc>
          <w:tcPr>
            <w:tcW w:w="900" w:type="dxa"/>
            <w:vAlign w:val="bottom"/>
          </w:tcPr>
          <w:p>
            <w:pPr>
              <w:spacing w:after="0"/>
              <w:rPr>
                <w:sz w:val="9"/>
                <w:szCs w:val="9"/>
                <w:color w:val="auto"/>
              </w:rPr>
            </w:pPr>
          </w:p>
        </w:tc>
        <w:tc>
          <w:tcPr>
            <w:tcW w:w="9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on July 6, 2005).</w:t>
            </w:r>
          </w:p>
        </w:tc>
        <w:tc>
          <w:tcPr>
            <w:tcW w:w="0" w:type="dxa"/>
            <w:vAlign w:val="bottom"/>
          </w:tcPr>
          <w:p>
            <w:pPr>
              <w:spacing w:after="0"/>
              <w:rPr>
                <w:sz w:val="1"/>
                <w:szCs w:val="1"/>
                <w:color w:val="auto"/>
              </w:rPr>
            </w:pPr>
          </w:p>
        </w:tc>
      </w:tr>
      <w:tr>
        <w:trPr>
          <w:trHeight w:val="106"/>
        </w:trPr>
        <w:tc>
          <w:tcPr>
            <w:tcW w:w="1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320" w:type="dxa"/>
            <w:vAlign w:val="bottom"/>
            <w:gridSpan w:val="3"/>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900" w:type="dxa"/>
            <w:vAlign w:val="bottom"/>
          </w:tcPr>
          <w:p>
            <w:pPr>
              <w:spacing w:after="0"/>
              <w:rPr>
                <w:sz w:val="23"/>
                <w:szCs w:val="23"/>
                <w:color w:val="auto"/>
              </w:rPr>
            </w:pP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Amended and restated By-laws of Gartner, Inc, effective October 30, 2025. (Incorporated by reference from the Company’s Quarterly</w:t>
            </w:r>
          </w:p>
        </w:tc>
        <w:tc>
          <w:tcPr>
            <w:tcW w:w="0" w:type="dxa"/>
            <w:vAlign w:val="bottom"/>
          </w:tcPr>
          <w:p>
            <w:pPr>
              <w:spacing w:after="0"/>
              <w:rPr>
                <w:sz w:val="1"/>
                <w:szCs w:val="1"/>
                <w:color w:val="auto"/>
              </w:rPr>
            </w:pPr>
          </w:p>
        </w:tc>
      </w:tr>
      <w:tr>
        <w:trPr>
          <w:trHeight w:val="214"/>
        </w:trPr>
        <w:tc>
          <w:tcPr>
            <w:tcW w:w="1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Report on Form 10-Q filed on November 4, 2025).</w:t>
            </w:r>
          </w:p>
        </w:tc>
        <w:tc>
          <w:tcPr>
            <w:tcW w:w="0" w:type="dxa"/>
            <w:vAlign w:val="bottom"/>
          </w:tcPr>
          <w:p>
            <w:pPr>
              <w:spacing w:after="0"/>
              <w:rPr>
                <w:sz w:val="1"/>
                <w:szCs w:val="1"/>
                <w:color w:val="auto"/>
              </w:rPr>
            </w:pPr>
          </w:p>
        </w:tc>
      </w:tr>
      <w:tr>
        <w:trPr>
          <w:trHeight w:val="252"/>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under Rule 13a — 14(a)/15d — 14(a).</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020" w:type="dxa"/>
            <w:vAlign w:val="bottom"/>
            <w:tcBorders>
              <w:right w:val="single" w:sz="8" w:color="0000FF"/>
            </w:tcBorders>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Rule 13a — 14(a)/15d — 14(a).</w:t>
            </w:r>
          </w:p>
        </w:tc>
        <w:tc>
          <w:tcPr>
            <w:tcW w:w="0" w:type="dxa"/>
            <w:vAlign w:val="bottom"/>
          </w:tcPr>
          <w:p>
            <w:pPr>
              <w:spacing w:after="0"/>
              <w:rPr>
                <w:sz w:val="1"/>
                <w:szCs w:val="1"/>
                <w:color w:val="auto"/>
              </w:rPr>
            </w:pPr>
          </w:p>
        </w:tc>
      </w:tr>
      <w:tr>
        <w:trPr>
          <w:trHeight w:val="277"/>
        </w:trPr>
        <w:tc>
          <w:tcPr>
            <w:tcW w:w="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color w:val="000000"/>
              </w:rPr>
              <w:t>*</w:t>
            </w:r>
          </w:p>
        </w:tc>
        <w:tc>
          <w:tcPr>
            <w:tcW w:w="900" w:type="dxa"/>
            <w:vAlign w:val="bottom"/>
          </w:tcPr>
          <w:p>
            <w:pPr>
              <w:spacing w:after="0"/>
              <w:rPr>
                <w:sz w:val="24"/>
                <w:szCs w:val="24"/>
                <w:color w:val="auto"/>
              </w:rPr>
            </w:pPr>
          </w:p>
        </w:tc>
        <w:tc>
          <w:tcPr>
            <w:tcW w:w="55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Certification under 18 U.S.C. 1350.</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97"/>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97"/>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97"/>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97"/>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104*</w:t>
            </w: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(included as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7774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40"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3 and 4 of Part II are not applicable and have been omitted.</w:t>
      </w:r>
    </w:p>
    <w:p>
      <w:pPr>
        <w:spacing w:after="0" w:line="2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Gartner, Inc.</w:t>
      </w:r>
    </w:p>
    <w:p>
      <w:pPr>
        <w:spacing w:after="0" w:line="104" w:lineRule="exact"/>
        <w:rPr>
          <w:sz w:val="20"/>
          <w:szCs w:val="20"/>
          <w:color w:val="auto"/>
        </w:rPr>
      </w:pPr>
    </w:p>
    <w:p>
      <w:pPr>
        <w:ind w:left="620" w:right="3780" w:hanging="5898"/>
        <w:spacing w:after="0" w:line="284" w:lineRule="auto"/>
        <w:tabs>
          <w:tab w:leader="none" w:pos="600" w:val="left"/>
        </w:tabs>
        <w:rPr>
          <w:sz w:val="20"/>
          <w:szCs w:val="20"/>
          <w:color w:val="auto"/>
        </w:rPr>
      </w:pPr>
      <w:r>
        <w:rPr>
          <w:rFonts w:ascii="Times New Roman" w:cs="Times New Roman" w:eastAsia="Times New Roman" w:hAnsi="Times New Roman"/>
          <w:sz w:val="18"/>
          <w:szCs w:val="18"/>
          <w:color w:val="auto"/>
        </w:rPr>
        <w:t>Date:</w:t>
        <w:tab/>
        <w:t>November 3, 2026 /s/ Craig W. Safian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-6350</wp:posOffset>
            </wp:positionV>
            <wp:extent cx="33686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3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60"/>
          </w:cols>
          <w:pgMar w:left="320" w:top="887" w:right="5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A. Hall, certify that:</w:t>
      </w:r>
    </w:p>
    <w:p>
      <w:pPr>
        <w:spacing w:after="0" w:line="252" w:lineRule="exact"/>
        <w:rPr>
          <w:sz w:val="20"/>
          <w:szCs w:val="20"/>
          <w:color w:val="auto"/>
        </w:rPr>
      </w:pPr>
    </w:p>
    <w:p>
      <w:pPr>
        <w:ind w:left="640" w:hanging="63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2026,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82" w:lineRule="auto"/>
        <w:tabs>
          <w:tab w:leader="none" w:pos="14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460" w:right="20" w:hanging="804"/>
        <w:spacing w:after="0" w:line="282" w:lineRule="auto"/>
        <w:tabs>
          <w:tab w:leader="none" w:pos="14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804"/>
        <w:spacing w:after="0" w:line="282" w:lineRule="auto"/>
        <w:tabs>
          <w:tab w:leader="none" w:pos="14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16116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Eugene A. Hall</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November 3, 2026</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W. Safian, certify that:</w:t>
      </w:r>
    </w:p>
    <w:p>
      <w:pPr>
        <w:spacing w:after="0" w:line="252"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2026,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82" w:lineRule="auto"/>
        <w:tabs>
          <w:tab w:leader="none" w:pos="14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460" w:right="20" w:hanging="804"/>
        <w:spacing w:after="0" w:line="282" w:lineRule="auto"/>
        <w:tabs>
          <w:tab w:leader="none" w:pos="14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804"/>
        <w:spacing w:after="0" w:line="282" w:lineRule="auto"/>
        <w:tabs>
          <w:tab w:leader="none" w:pos="14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1465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Craig W. Safian</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November 3, 2026</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connection with the Quarterly Report of Gartner, Inc. (the “Company”) on Form 10-Q for the quarter ended September 30, 2026,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spacing w:after="0" w:line="205" w:lineRule="exact"/>
        <w:rPr>
          <w:sz w:val="20"/>
          <w:szCs w:val="20"/>
          <w:color w:val="auto"/>
        </w:rPr>
      </w:pPr>
    </w:p>
    <w:p>
      <w:pPr>
        <w:ind w:left="740" w:hanging="732"/>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0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Eugene A. Hall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02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Craig W. Safian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3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lowerRoman"/>
      <w:start w:val="2"/>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65" Type="http://schemas.openxmlformats.org/officeDocument/2006/relationships/hyperlink" Target="https://www.sec.gov/Archives/edgar/data/749251/000095012305008192/y10586exv3w1.htm" TargetMode="External"/><Relationship Id="rId66" Type="http://schemas.openxmlformats.org/officeDocument/2006/relationships/hyperlink" Target="https://www.sec.gov/Archives/edgar/data/749251/000074925125000082/ex32-byxlawsofgartnerinc_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2026-11-03T07:19:33Z</dcterms:created>
  <dcterms:modified xsi:type="dcterms:W3CDTF">2026-11-03T07:19:33Z</dcterms:modified>
</cp:coreProperties>
</file>